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120"/>
        <w:jc w:val="left"/>
        <w:rPr/>
      </w:pPr>
      <w:r>
        <w:rPr/>
        <w:t>Requesting a laptop or other equipment</w:t>
      </w:r>
    </w:p>
    <w:p>
      <w:pPr>
        <w:pStyle w:val="BodyText"/>
        <w:bidi w:val="0"/>
        <w:jc w:val="left"/>
        <w:rPr>
          <w:i/>
        </w:rPr>
      </w:pPr>
      <w:r>
        <w:rPr>
          <w:i/>
        </w:rPr>
        <w:t>Tidewater Analytics is a fictional company. This is a sample document for pdfconversionapi.com, released under CC0 1.0.</w:t>
      </w:r>
    </w:p>
    <w:p>
      <w:pPr>
        <w:pStyle w:val="Heading2"/>
        <w:bidi w:val="0"/>
        <w:jc w:val="left"/>
        <w:rPr/>
      </w:pPr>
      <w:r>
        <w:rPr/>
        <w:t>Who can request equipment</w:t>
      </w:r>
    </w:p>
    <w:p>
      <w:pPr>
        <w:pStyle w:val="BodyText"/>
        <w:bidi w:val="0"/>
        <w:jc w:val="left"/>
        <w:rPr/>
      </w:pPr>
      <w:r>
        <w:rPr/>
        <w:t xml:space="preserve">Every full-time and part-time employee can request a work laptop, a monitor and the accessories listed below. Contractors get equipment through their agency. </w:t>
      </w:r>
      <w:r>
        <w:rPr>
          <w:b/>
        </w:rPr>
        <w:t>Do not buy equipment yourself and expense it.</w:t>
      </w:r>
      <w:r>
        <w:rPr/>
        <w:t xml:space="preserve"> Purchases outside the </w:t>
      </w:r>
      <w:hyperlink r:id="rId2">
        <w:r>
          <w:rPr>
            <w:rStyle w:val="Hyperlink"/>
          </w:rPr>
          <w:t>IT request portal</w:t>
        </w:r>
      </w:hyperlink>
      <w:r>
        <w:rPr/>
        <w:t xml:space="preserve"> are not reimbursed.</w:t>
      </w:r>
    </w:p>
    <w:p>
      <w:pPr>
        <w:pStyle w:val="BodyText"/>
        <w:bidi w:val="0"/>
        <w:jc w:val="left"/>
        <w:rPr/>
      </w:pPr>
      <w:r>
        <w:rPr/>
        <w:t xml:space="preserve">If you need something that is not on the list, write to the help desk at </w:t>
      </w:r>
      <w:r>
        <w:rPr>
          <w:u w:val="single"/>
        </w:rPr>
        <w:t>it-help@example.com</w:t>
      </w:r>
      <w:r>
        <w:rPr/>
        <w:t xml:space="preserve"> and say what it is for. Requests marked </w:t>
      </w:r>
      <w:r>
        <w:rPr>
          <w:b/>
          <w:color w:val="B00020"/>
        </w:rPr>
        <w:t>urgent</w:t>
      </w:r>
      <w:r>
        <w:rPr/>
        <w:t xml:space="preserve"> are reviewed the same business day.</w:t>
      </w:r>
    </w:p>
    <w:p>
      <w:pPr>
        <w:pStyle w:val="Heading2"/>
        <w:bidi w:val="0"/>
        <w:jc w:val="left"/>
        <w:rPr/>
      </w:pPr>
      <w:r>
        <w:rPr/>
        <w:t>How a request moves</w:t>
      </w:r>
    </w:p>
    <w:p>
      <w:pPr>
        <w:pStyle w:val="BodyText"/>
        <w:bidi w:val="0"/>
        <w:jc w:val="left"/>
        <w:rPr/>
      </w:pPr>
      <w:r>
        <w:rPr/>
        <w:drawing>
          <wp:inline distT="0" distB="0" distL="0" distR="0">
            <wp:extent cx="5715000" cy="1266825"/>
            <wp:effectExtent l="0" t="0" r="0" b="0"/>
            <wp:docPr id="1" name="Image1" descr="Diagram: you file a request, your manager approves it, IT ships within 5 business day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Diagram: you file a request, your manager approves it, IT ships within 5 business days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266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 xml:space="preserve">Open the IT request portal and choose a kit. 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 xml:space="preserve">Add a short reason. Your manager sees it in the approval email. 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 xml:space="preserve">Pick a delivery address: </w:t>
      </w:r>
    </w:p>
    <w:p>
      <w:pPr>
        <w:pStyle w:val="BodyText"/>
        <w:numPr>
          <w:ilvl w:val="1"/>
          <w:numId w:val="1"/>
        </w:numPr>
        <w:tabs>
          <w:tab w:val="clear" w:pos="709"/>
          <w:tab w:val="left" w:pos="1418" w:leader="none"/>
        </w:tabs>
        <w:bidi w:val="0"/>
        <w:spacing w:before="0" w:after="0"/>
        <w:ind w:hanging="283" w:left="1418"/>
        <w:jc w:val="left"/>
        <w:rPr/>
      </w:pPr>
      <w:r>
        <w:rPr/>
        <w:t xml:space="preserve">the office front desk, or </w:t>
      </w:r>
    </w:p>
    <w:p>
      <w:pPr>
        <w:pStyle w:val="BodyText"/>
        <w:numPr>
          <w:ilvl w:val="1"/>
          <w:numId w:val="1"/>
        </w:numPr>
        <w:tabs>
          <w:tab w:val="clear" w:pos="709"/>
          <w:tab w:val="left" w:pos="1418" w:leader="none"/>
        </w:tabs>
        <w:bidi w:val="0"/>
        <w:spacing w:before="0" w:after="0"/>
        <w:ind w:hanging="283" w:left="1418"/>
        <w:jc w:val="left"/>
        <w:rPr/>
      </w:pPr>
      <w:r>
        <w:rPr/>
        <w:t xml:space="preserve">your home address on file in the HR system. 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ind w:hanging="283" w:left="709"/>
        <w:jc w:val="left"/>
        <w:rPr/>
      </w:pPr>
      <w:r>
        <w:rPr/>
        <w:t xml:space="preserve">Track the order from the portal. You get a tracking number when it ships. </w:t>
      </w:r>
    </w:p>
    <w:p>
      <w:pPr>
        <w:pStyle w:val="Heading2"/>
        <w:bidi w:val="0"/>
        <w:jc w:val="left"/>
        <w:rPr/>
      </w:pPr>
      <w:r>
        <w:rPr/>
        <w:t>Standard kits</w:t>
      </w:r>
    </w:p>
    <w:tbl>
      <w:tblPr>
        <w:tblW w:w="8381" w:type="dxa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1284"/>
        <w:gridCol w:w="6224"/>
        <w:gridCol w:w="873"/>
      </w:tblGrid>
      <w:tr>
        <w:trPr/>
        <w:tc>
          <w:tcPr>
            <w:tcW w:w="1284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shd w:fill="DCE6F2" w:val="clear"/>
              <w:bidi w:val="0"/>
              <w:jc w:val="center"/>
              <w:rPr/>
            </w:pPr>
            <w:r>
              <w:rPr/>
              <w:t>Kit</w:t>
            </w:r>
          </w:p>
        </w:tc>
        <w:tc>
          <w:tcPr>
            <w:tcW w:w="6224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shd w:fill="DCE6F2" w:val="clear"/>
              <w:bidi w:val="0"/>
              <w:jc w:val="center"/>
              <w:rPr/>
            </w:pPr>
            <w:r>
              <w:rPr/>
              <w:t>What is in it</w:t>
            </w:r>
          </w:p>
        </w:tc>
        <w:tc>
          <w:tcPr>
            <w:tcW w:w="873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shd w:fill="DCE6F2" w:val="clear"/>
              <w:bidi w:val="0"/>
              <w:jc w:val="center"/>
              <w:rPr/>
            </w:pPr>
            <w:r>
              <w:rPr/>
              <w:t>Budget</w:t>
            </w:r>
          </w:p>
        </w:tc>
      </w:tr>
      <w:tr>
        <w:trPr/>
        <w:tc>
          <w:tcPr>
            <w:tcW w:w="1284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Standard</w:t>
            </w:r>
          </w:p>
        </w:tc>
        <w:tc>
          <w:tcPr>
            <w:tcW w:w="622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14-inch laptop, 24-inch monitor, keyboard, mouse</w:t>
            </w:r>
          </w:p>
        </w:tc>
        <w:tc>
          <w:tcPr>
            <w:tcW w:w="87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jc w:val="right"/>
              <w:rPr/>
            </w:pPr>
            <w:r>
              <w:rPr/>
              <w:t>$1,450</w:t>
            </w:r>
          </w:p>
        </w:tc>
      </w:tr>
      <w:tr>
        <w:trPr/>
        <w:tc>
          <w:tcPr>
            <w:tcW w:w="1284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Engineering</w:t>
            </w:r>
          </w:p>
        </w:tc>
        <w:tc>
          <w:tcPr>
            <w:tcW w:w="622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16-inch laptop with 32 GB of memory, two 27-inch monitors, dock</w:t>
            </w:r>
          </w:p>
        </w:tc>
        <w:tc>
          <w:tcPr>
            <w:tcW w:w="87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jc w:val="right"/>
              <w:rPr/>
            </w:pPr>
            <w:r>
              <w:rPr/>
              <w:t>$2,980</w:t>
            </w:r>
          </w:p>
        </w:tc>
      </w:tr>
      <w:tr>
        <w:trPr/>
        <w:tc>
          <w:tcPr>
            <w:tcW w:w="1284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Field</w:t>
            </w:r>
          </w:p>
        </w:tc>
        <w:tc>
          <w:tcPr>
            <w:tcW w:w="622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Rugged 13-inch laptop, mobile hotspot, carrying case</w:t>
            </w:r>
          </w:p>
        </w:tc>
        <w:tc>
          <w:tcPr>
            <w:tcW w:w="87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jc w:val="right"/>
              <w:rPr/>
            </w:pPr>
            <w:r>
              <w:rPr/>
              <w:t>$1,720</w:t>
            </w:r>
          </w:p>
        </w:tc>
      </w:tr>
      <w:tr>
        <w:trPr/>
        <w:tc>
          <w:tcPr>
            <w:tcW w:w="7508" w:type="dxa"/>
            <w:gridSpan w:val="2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b/>
              </w:rPr>
            </w:pPr>
            <w:r>
              <w:rPr>
                <w:b/>
              </w:rPr>
              <w:t>Replacement cycle for every kit</w:t>
            </w:r>
          </w:p>
        </w:tc>
        <w:tc>
          <w:tcPr>
            <w:tcW w:w="873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jc w:val="right"/>
              <w:rPr>
                <w:b/>
              </w:rPr>
            </w:pPr>
            <w:r>
              <w:rPr>
                <w:b/>
              </w:rPr>
              <w:t>4 years</w:t>
            </w:r>
          </w:p>
        </w:tc>
      </w:tr>
    </w:tbl>
    <w:p>
      <w:pPr>
        <w:pStyle w:val="BodyText"/>
        <w:bidi w:val="0"/>
        <w:jc w:val="left"/>
        <w:rPr/>
      </w:pPr>
      <w:r>
        <w:rPr/>
        <w:t>Budgets include sales tax and shipping.</w:t>
      </w:r>
      <w:r>
        <w:rPr>
          <w:rStyle w:val="FootnoteReference"/>
        </w:rPr>
        <w:footnoteReference w:id="2"/>
      </w:r>
    </w:p>
    <w:p>
      <w:pPr>
        <w:pStyle w:val="Heading3"/>
        <w:bidi w:val="0"/>
        <w:jc w:val="left"/>
        <w:rPr/>
      </w:pPr>
      <w:r>
        <w:rPr/>
        <w:t>Accessories you can add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 xml:space="preserve">Headset with microphone 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 xml:space="preserve">Laptop stand 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 xml:space="preserve">Ergonomic items, with a note from your manager or HR: </w:t>
      </w:r>
    </w:p>
    <w:p>
      <w:pPr>
        <w:pStyle w:val="BodyText"/>
        <w:numPr>
          <w:ilvl w:val="1"/>
          <w:numId w:val="2"/>
        </w:numPr>
        <w:tabs>
          <w:tab w:val="clear" w:pos="709"/>
          <w:tab w:val="left" w:pos="1418" w:leader="none"/>
        </w:tabs>
        <w:bidi w:val="0"/>
        <w:spacing w:before="0" w:after="0"/>
        <w:ind w:hanging="283" w:left="1418"/>
        <w:jc w:val="left"/>
        <w:rPr/>
      </w:pPr>
      <w:r>
        <w:rPr/>
        <w:t xml:space="preserve">split keyboard </w:t>
      </w:r>
    </w:p>
    <w:p>
      <w:pPr>
        <w:pStyle w:val="BodyText"/>
        <w:numPr>
          <w:ilvl w:val="1"/>
          <w:numId w:val="2"/>
        </w:numPr>
        <w:tabs>
          <w:tab w:val="clear" w:pos="709"/>
          <w:tab w:val="left" w:pos="1418" w:leader="none"/>
        </w:tabs>
        <w:bidi w:val="0"/>
        <w:ind w:hanging="283" w:left="1418"/>
        <w:jc w:val="left"/>
        <w:rPr/>
      </w:pPr>
      <w:r>
        <w:rPr/>
        <w:t xml:space="preserve">vertical mouse </w:t>
      </w:r>
      <w:r>
        <w:br w:type="page"/>
      </w:r>
    </w:p>
    <w:p>
      <w:pPr>
        <w:pStyle w:val="BodyText"/>
        <w:bidi w:val="0"/>
        <w:ind w:hanging="0" w:left="0" w:right="0"/>
        <w:jc w:val="left"/>
        <w:rPr>
          <w:b/>
        </w:rPr>
      </w:pPr>
      <w:r>
        <w:rPr>
          <w:b/>
        </w:rPr>
        <w:t>Appendix: returning equipment</w:t>
      </w:r>
    </w:p>
    <w:p>
      <w:pPr>
        <w:pStyle w:val="BodyText"/>
        <w:bidi w:val="0"/>
        <w:spacing w:before="0" w:after="140"/>
        <w:jc w:val="left"/>
        <w:rPr/>
      </w:pPr>
      <w:r>
        <w:rPr/>
        <w:t>When you leave Tidewater Analytics or your kit is replaced, IT sends a prepaid return box. Wipe nothing yourself; IT erases each laptop with a logged, certified wipe after it arrives. Keep the box for 30 days in case the shipment is lost.</w:t>
      </w:r>
    </w:p>
    <w:sectPr>
      <w:headerReference w:type="default" r:id="rId4"/>
      <w:footerReference w:type="default" r:id="rId5"/>
      <w:footnotePr>
        <w:numFmt w:val="decimal"/>
      </w:footnotePr>
      <w:type w:val="nextPage"/>
      <w:pgSz w:w="12240" w:h="15840"/>
      <w:pgMar w:left="1440" w:right="1440" w:gutter="0" w:header="1440" w:top="1810" w:footer="1440" w:bottom="181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erif">
    <w:altName w:val="Times New Roman"/>
    <w:charset w:val="00"/>
    <w:family w:val="auto"/>
    <w:pitch w:val="default"/>
  </w:font>
  <w:font w:name="Liberation Sans">
    <w:altName w:val="Arial"/>
    <w:charset w:val="00"/>
    <w:family w:val="auto"/>
    <w:pitch w:val="default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/>
    <w:family w:val="swiss"/>
    <w:pitch w:val="variable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bidi w:val="0"/>
      <w:spacing w:before="0" w:after="140"/>
      <w:jc w:val="center"/>
      <w:rPr>
        <w:rFonts w:ascii="Liberation Sans" w:hAnsi="Liberation Sans"/>
        <w:sz w:val="20"/>
      </w:rPr>
    </w:pPr>
    <w:r>
      <w:rPr>
        <w:rFonts w:ascii="Liberation Sans" w:hAnsi="Liberation Sans"/>
        <w:sz w:val="20"/>
      </w:rPr>
      <w:t xml:space="preserve">Page </w:t>
    </w:r>
    <w:r>
      <w:rPr>
        <w:rFonts w:ascii="Liberation Sans" w:hAnsi="Liberation Sans"/>
        <w:sz w:val="20"/>
      </w:rPr>
      <w:fldChar w:fldCharType="begin"/>
    </w:r>
    <w:r>
      <w:rPr>
        <w:sz w:val="20"/>
        <w:rFonts w:ascii="Liberation Sans" w:hAnsi="Liberation Sans"/>
      </w:rPr>
      <w:instrText xml:space="preserve"> PAGE </w:instrText>
    </w:r>
    <w:r>
      <w:rPr>
        <w:sz w:val="20"/>
        <w:rFonts w:ascii="Liberation Sans" w:hAnsi="Liberation Sans"/>
      </w:rPr>
      <w:fldChar w:fldCharType="separate"/>
    </w:r>
    <w:r>
      <w:rPr>
        <w:sz w:val="20"/>
        <w:rFonts w:ascii="Liberation Sans" w:hAnsi="Liberation Sans"/>
      </w:rPr>
      <w:t>3</w:t>
    </w:r>
    <w:r>
      <w:rPr>
        <w:sz w:val="20"/>
        <w:rFonts w:ascii="Liberation Sans" w:hAnsi="Liberation Sans"/>
      </w:rPr>
      <w:fldChar w:fldCharType="end"/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FootnoteText"/>
        <w:bidi w:val="0"/>
        <w:spacing w:before="0" w:after="283"/>
        <w:ind w:hanging="0" w:left="0" w:right="0"/>
        <w:jc w:val="left"/>
        <w:rPr/>
      </w:pPr>
      <w:r>
        <w:rPr>
          <w:rStyle w:val="FootnoteCharacters"/>
        </w:rPr>
        <w:footnoteRef/>
      </w:r>
      <w:r>
        <w:rPr/>
        <w:t>Shipping to Alaska and Hawaii is billed to your department.</w:t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bidi w:val="0"/>
      <w:spacing w:before="0" w:after="140"/>
      <w:jc w:val="right"/>
      <w:rPr>
        <w:rFonts w:ascii="Liberation Sans" w:hAnsi="Liberation Sans"/>
        <w:sz w:val="20"/>
      </w:rPr>
    </w:pPr>
    <w:r>
      <w:rPr>
        <w:rFonts w:ascii="Liberation Sans" w:hAnsi="Liberation Sans"/>
        <w:sz w:val="20"/>
      </w:rPr>
      <w:t>Tidewater Analytics Employee Handbook, section 7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  <w:rPr/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pStyle w:val="Heading3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footnotePr>
    <w:numFmt w:val="decimal"/>
    <w:footnote w:id="0"/>
    <w:footnote w:id="1"/>
  </w:footnotePr>
  <w:compat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Liberation Serif" w:hAnsi="Liberation Serif" w:eastAsia="Liberation Serif" w:cs="Liberation Serif"/>
      <w:color w:val="auto"/>
      <w:sz w:val="22"/>
      <w:szCs w:val="22"/>
      <w:lang w:val="en-US" w:eastAsia="zh-CN" w:bidi="hi-IN"/>
    </w:rPr>
  </w:style>
  <w:style w:type="paragraph" w:styleId="Heading1">
    <w:name w:val="heading 1"/>
    <w:basedOn w:val="Heading"/>
    <w:next w:val="BodyText"/>
    <w:qFormat/>
    <w:pPr>
      <w:spacing w:before="240" w:after="120"/>
      <w:outlineLvl w:val="0"/>
    </w:pPr>
    <w:rPr>
      <w:rFonts w:ascii="Liberation Sans" w:hAnsi="Liberation Sans" w:eastAsia="Liberation Sans" w:cs="Liberation Sans"/>
      <w:b/>
      <w:bCs/>
      <w:color w:val="1D3D6B"/>
      <w:sz w:val="48"/>
      <w:szCs w:val="48"/>
    </w:rPr>
  </w:style>
  <w:style w:type="paragraph" w:styleId="Heading2">
    <w:name w:val="heading 2"/>
    <w:basedOn w:val="Heading"/>
    <w:next w:val="BodyText"/>
    <w:qFormat/>
    <w:pPr>
      <w:spacing w:before="200" w:after="120"/>
      <w:outlineLvl w:val="1"/>
    </w:pPr>
    <w:rPr>
      <w:rFonts w:ascii="Liberation Sans" w:hAnsi="Liberation Sans" w:eastAsia="Liberation Sans" w:cs="Liberation Sans"/>
      <w:b/>
      <w:bCs/>
      <w:color w:val="1D3D6B"/>
      <w:sz w:val="36"/>
      <w:szCs w:val="36"/>
    </w:rPr>
  </w:style>
  <w:style w:type="paragraph" w:styleId="Heading3">
    <w:name w:val="heading 3"/>
    <w:basedOn w:val="Heading"/>
    <w:next w:val="BodyText"/>
    <w:qFormat/>
    <w:pPr>
      <w:spacing w:before="140" w:after="120"/>
      <w:outlineLvl w:val="2"/>
    </w:pPr>
    <w:rPr>
      <w:rFonts w:ascii="Liberation Sans" w:hAnsi="Liberation Sans" w:eastAsia="Liberation Sans" w:cs="Liberation Sans"/>
      <w:b/>
      <w:bCs/>
      <w:color w:val="1D3D6B"/>
      <w:sz w:val="28"/>
      <w:szCs w:val="28"/>
    </w:rPr>
  </w:style>
  <w:style w:type="character" w:styleId="Hyperlink">
    <w:name w:val="Hyperlink"/>
    <w:rPr>
      <w:color w:val="000080"/>
      <w:u w:val="single"/>
    </w:rPr>
  </w:style>
  <w:style w:type="character" w:styleId="NumberingSymbols">
    <w:name w:val="Numbering Symbols"/>
    <w:qFormat/>
    <w:rPr/>
  </w:style>
  <w:style w:type="character" w:styleId="Bullets">
    <w:name w:val="Bullets"/>
    <w:qFormat/>
    <w:rPr>
      <w:rFonts w:ascii="OpenSymbol" w:hAnsi="OpenSymbol" w:eastAsia="OpenSymbol" w:cs="OpenSymbol"/>
    </w:rPr>
  </w:style>
  <w:style w:type="character" w:styleId="FootnoteCharacters">
    <w:name w:val="Footnote Characters"/>
    <w:qFormat/>
    <w:rPr/>
  </w:style>
  <w:style w:type="character" w:styleId="FootnoteReference">
    <w:name w:val="footnote reference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eaderandFooter">
    <w:name w:val="Header and Footer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HeaderandFooter"/>
    <w:pPr>
      <w:suppressLineNumbers/>
    </w:pPr>
    <w:rPr/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shd w:fill="DCE6F2" w:val="clear"/>
      <w:jc w:val="center"/>
    </w:pPr>
    <w:rPr>
      <w:b/>
      <w:bCs/>
    </w:rPr>
  </w:style>
  <w:style w:type="paragraph" w:styleId="FootnoteText">
    <w:name w:val="footnote text"/>
    <w:basedOn w:val="Normal"/>
    <w:pPr>
      <w:suppressLineNumbers/>
      <w:ind w:hanging="340" w:left="340"/>
    </w:pPr>
    <w:rPr>
      <w:sz w:val="20"/>
      <w:szCs w:val="20"/>
    </w:rPr>
  </w:style>
  <w:style w:type="paragraph" w:styleId="Footer">
    <w:name w:val="footer"/>
    <w:basedOn w:val="HeaderandFooter"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example.com/it-portal" TargetMode="External"/><Relationship Id="rId3" Type="http://schemas.openxmlformats.org/officeDocument/2006/relationships/image" Target="media/image1.png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footnotes" Target="footnotes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>Requesting a laptop or other equipment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