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120"/>
        <w:jc w:val="left"/>
        <w:rPr/>
      </w:pPr>
      <w:r>
        <w:rPr/>
        <w:t>Q3 2026 Operations Report</w:t>
      </w:r>
    </w:p>
    <w:p>
      <w:pPr>
        <w:pStyle w:val="BodyText"/>
        <w:bidi w:val="0"/>
        <w:jc w:val="left"/>
        <w:rPr>
          <w:i/>
        </w:rPr>
      </w:pPr>
      <w:r>
        <w:rPr>
          <w:i/>
        </w:rPr>
        <w:t>Bellwether Freight (a fictional company). Sample document for pdfconversionapi.com, released under CC0 1.0.</w:t>
      </w:r>
    </w:p>
    <w:p>
      <w:pPr>
        <w:pStyle w:val="Heading2"/>
        <w:bidi w:val="0"/>
        <w:jc w:val="left"/>
        <w:rPr/>
      </w:pPr>
      <w:r>
        <w:rPr/>
        <w:t>1. Summary</w:t>
      </w:r>
    </w:p>
    <w:p>
      <w:pPr>
        <w:pStyle w:val="BodyText"/>
        <w:bidi w:val="0"/>
        <w:jc w:val="left"/>
        <w:rPr/>
      </w:pPr>
      <w:r>
        <w:rPr/>
        <w:t>Shipments grew in each month of the quarter, from 22,000 in July to 27,500 in September. On-time delivery held at 96.4%, and the new Reno cross-dock handled 18% of westbound volume by the end of September.</w:t>
      </w:r>
    </w:p>
    <w:p>
      <w:pPr>
        <w:pStyle w:val="BodyText"/>
        <w:bidi w:val="0"/>
        <w:jc w:val="left"/>
        <w:rPr/>
      </w:pPr>
      <w:r>
        <w:rPr/>
        <w:t>Three items need a decision before the next review:</w:t>
      </w:r>
    </w:p>
    <w:p>
      <w:pPr>
        <w:pStyle w:val="BodyText"/>
        <w:numPr>
          <w:ilvl w:val="0"/>
          <w:numId w:val="1"/>
        </w:numPr>
        <w:tabs>
          <w:tab w:val="clear" w:pos="709"/>
          <w:tab w:val="left" w:pos="709" w:leader="none"/>
        </w:tabs>
        <w:bidi w:val="0"/>
        <w:spacing w:before="0" w:after="0"/>
        <w:ind w:hanging="283" w:left="709"/>
        <w:jc w:val="left"/>
        <w:rPr/>
      </w:pPr>
      <w:r>
        <w:rPr/>
        <w:t xml:space="preserve">Whether to extend weekend hours at the Reno cross-dock past December. </w:t>
      </w:r>
    </w:p>
    <w:p>
      <w:pPr>
        <w:pStyle w:val="BodyText"/>
        <w:numPr>
          <w:ilvl w:val="0"/>
          <w:numId w:val="1"/>
        </w:numPr>
        <w:tabs>
          <w:tab w:val="clear" w:pos="709"/>
          <w:tab w:val="left" w:pos="709" w:leader="none"/>
        </w:tabs>
        <w:bidi w:val="0"/>
        <w:spacing w:before="0" w:after="0"/>
        <w:ind w:hanging="283" w:left="709"/>
        <w:jc w:val="left"/>
        <w:rPr/>
      </w:pPr>
      <w:r>
        <w:rPr/>
        <w:t xml:space="preserve">Which carrier takes the Denver to Salt Lake City lane when the current contract ends. </w:t>
      </w:r>
    </w:p>
    <w:p>
      <w:pPr>
        <w:pStyle w:val="BodyText"/>
        <w:numPr>
          <w:ilvl w:val="0"/>
          <w:numId w:val="1"/>
        </w:numPr>
        <w:tabs>
          <w:tab w:val="clear" w:pos="709"/>
          <w:tab w:val="left" w:pos="709" w:leader="none"/>
        </w:tabs>
        <w:bidi w:val="0"/>
        <w:ind w:hanging="283" w:left="709"/>
        <w:jc w:val="left"/>
        <w:rPr/>
      </w:pPr>
      <w:r>
        <w:rPr/>
        <w:t xml:space="preserve">How much of the 2027 budget goes to replacing the oldest forklifts. </w:t>
      </w:r>
    </w:p>
    <w:p>
      <w:pPr>
        <w:pStyle w:val="Heading2"/>
        <w:bidi w:val="0"/>
        <w:jc w:val="left"/>
        <w:rPr/>
      </w:pPr>
      <w:r>
        <w:rPr/>
        <w:t>2. Volume by month</w:t>
      </w:r>
    </w:p>
    <w:p>
      <w:pPr>
        <w:pStyle w:val="BodyText"/>
        <w:bidi w:val="0"/>
        <w:jc w:val="left"/>
        <w:rPr/>
      </w:pPr>
      <w:r>
        <w:rPr/>
        <w:drawing>
          <wp:inline distT="0" distB="0" distL="0" distR="0">
            <wp:extent cx="4572000" cy="2143125"/>
            <wp:effectExtent l="0" t="0" r="0" b="0"/>
            <wp:docPr id="1" name="Image1" descr="Bar chart: 22.0 thousand shipments in July, 25.0 in August, 27.5 in Septe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Bar chart: 22.0 thousand shipments in July, 25.0 in August, 27.5 in September"/>
                    <pic:cNvPicPr>
                      <a:picLocks noChangeAspect="1" noChangeArrowheads="1"/>
                    </pic:cNvPicPr>
                  </pic:nvPicPr>
                  <pic:blipFill>
                    <a:blip r:embed="rId2"/>
                    <a:stretch>
                      <a:fillRect/>
                    </a:stretch>
                  </pic:blipFill>
                  <pic:spPr bwMode="auto">
                    <a:xfrm>
                      <a:off x="0" y="0"/>
                      <a:ext cx="4572000" cy="2143125"/>
                    </a:xfrm>
                    <a:prstGeom prst="rect">
                      <a:avLst/>
                    </a:prstGeom>
                    <a:noFill/>
                  </pic:spPr>
                </pic:pic>
              </a:graphicData>
            </a:graphic>
          </wp:inline>
        </w:drawing>
      </w:r>
    </w:p>
    <w:tbl>
      <w:tblPr>
        <w:tblW w:w="4922" w:type="dxa"/>
        <w:jc w:val="left"/>
        <w:tblInd w:w="-7" w:type="dxa"/>
        <w:tblLayout w:type="fixed"/>
        <w:tblCellMar>
          <w:top w:w="75" w:type="dxa"/>
          <w:left w:w="75" w:type="dxa"/>
          <w:bottom w:w="75" w:type="dxa"/>
          <w:right w:w="75" w:type="dxa"/>
        </w:tblCellMar>
      </w:tblPr>
      <w:tblGrid>
        <w:gridCol w:w="1147"/>
        <w:gridCol w:w="1183"/>
        <w:gridCol w:w="951"/>
        <w:gridCol w:w="1641"/>
      </w:tblGrid>
      <w:tr>
        <w:trPr/>
        <w:tc>
          <w:tcPr>
            <w:tcW w:w="1147" w:type="dxa"/>
            <w:tcBorders>
              <w:top w:val="single" w:sz="6" w:space="0" w:color="808080"/>
              <w:left w:val="single" w:sz="6" w:space="0" w:color="808080"/>
              <w:bottom w:val="single" w:sz="2" w:space="0" w:color="808080"/>
              <w:right w:val="single" w:sz="6" w:space="0" w:color="808080"/>
            </w:tcBorders>
            <w:vAlign w:val="center"/>
          </w:tcPr>
          <w:p>
            <w:pPr>
              <w:pStyle w:val="TableHeading"/>
              <w:suppressLineNumbers/>
              <w:shd w:fill="E8EEF0" w:val="clear"/>
              <w:bidi w:val="0"/>
              <w:jc w:val="center"/>
              <w:rPr/>
            </w:pPr>
            <w:r>
              <w:rPr/>
              <w:t>Month</w:t>
            </w:r>
          </w:p>
        </w:tc>
        <w:tc>
          <w:tcPr>
            <w:tcW w:w="1183"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shd w:fill="E8EEF0" w:val="clear"/>
              <w:bidi w:val="0"/>
              <w:jc w:val="center"/>
              <w:rPr/>
            </w:pPr>
            <w:r>
              <w:rPr/>
              <w:t>Shipments</w:t>
            </w:r>
          </w:p>
        </w:tc>
        <w:tc>
          <w:tcPr>
            <w:tcW w:w="951"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shd w:fill="E8EEF0" w:val="clear"/>
              <w:bidi w:val="0"/>
              <w:jc w:val="center"/>
              <w:rPr/>
            </w:pPr>
            <w:r>
              <w:rPr/>
              <w:t>On time</w:t>
            </w:r>
          </w:p>
        </w:tc>
        <w:tc>
          <w:tcPr>
            <w:tcW w:w="1641"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shd w:fill="E8EEF0" w:val="clear"/>
              <w:bidi w:val="0"/>
              <w:jc w:val="center"/>
              <w:rPr/>
            </w:pPr>
            <w:r>
              <w:rPr/>
              <w:t>Damage claims</w:t>
            </w:r>
          </w:p>
        </w:tc>
      </w:tr>
      <w:tr>
        <w:trPr/>
        <w:tc>
          <w:tcPr>
            <w:tcW w:w="1147"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July</w:t>
            </w:r>
          </w:p>
        </w:tc>
        <w:tc>
          <w:tcPr>
            <w:tcW w:w="1183" w:type="dxa"/>
            <w:tcBorders>
              <w:left w:val="single" w:sz="2" w:space="0" w:color="808080"/>
              <w:bottom w:val="single" w:sz="2" w:space="0" w:color="808080"/>
              <w:right w:val="single" w:sz="6" w:space="0" w:color="808080"/>
            </w:tcBorders>
            <w:vAlign w:val="center"/>
          </w:tcPr>
          <w:p>
            <w:pPr>
              <w:pStyle w:val="TableContents"/>
              <w:bidi w:val="0"/>
              <w:jc w:val="right"/>
              <w:rPr/>
            </w:pPr>
            <w:r>
              <w:rPr/>
              <w:t>22,000</w:t>
            </w:r>
          </w:p>
        </w:tc>
        <w:tc>
          <w:tcPr>
            <w:tcW w:w="951" w:type="dxa"/>
            <w:tcBorders>
              <w:left w:val="single" w:sz="2" w:space="0" w:color="808080"/>
              <w:bottom w:val="single" w:sz="2" w:space="0" w:color="808080"/>
              <w:right w:val="single" w:sz="6" w:space="0" w:color="808080"/>
            </w:tcBorders>
            <w:vAlign w:val="center"/>
          </w:tcPr>
          <w:p>
            <w:pPr>
              <w:pStyle w:val="TableContents"/>
              <w:bidi w:val="0"/>
              <w:jc w:val="right"/>
              <w:rPr/>
            </w:pPr>
            <w:r>
              <w:rPr/>
              <w:t>96.1%</w:t>
            </w:r>
          </w:p>
        </w:tc>
        <w:tc>
          <w:tcPr>
            <w:tcW w:w="1641" w:type="dxa"/>
            <w:tcBorders>
              <w:left w:val="single" w:sz="2" w:space="0" w:color="808080"/>
              <w:bottom w:val="single" w:sz="2" w:space="0" w:color="808080"/>
              <w:right w:val="single" w:sz="6" w:space="0" w:color="808080"/>
            </w:tcBorders>
            <w:vAlign w:val="center"/>
          </w:tcPr>
          <w:p>
            <w:pPr>
              <w:pStyle w:val="TableContents"/>
              <w:bidi w:val="0"/>
              <w:jc w:val="right"/>
              <w:rPr/>
            </w:pPr>
            <w:r>
              <w:rPr/>
              <w:t>31</w:t>
            </w:r>
          </w:p>
        </w:tc>
      </w:tr>
      <w:tr>
        <w:trPr/>
        <w:tc>
          <w:tcPr>
            <w:tcW w:w="1147"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August</w:t>
            </w:r>
          </w:p>
        </w:tc>
        <w:tc>
          <w:tcPr>
            <w:tcW w:w="1183" w:type="dxa"/>
            <w:tcBorders>
              <w:left w:val="single" w:sz="2" w:space="0" w:color="808080"/>
              <w:bottom w:val="single" w:sz="2" w:space="0" w:color="808080"/>
              <w:right w:val="single" w:sz="6" w:space="0" w:color="808080"/>
            </w:tcBorders>
            <w:vAlign w:val="center"/>
          </w:tcPr>
          <w:p>
            <w:pPr>
              <w:pStyle w:val="TableContents"/>
              <w:bidi w:val="0"/>
              <w:jc w:val="right"/>
              <w:rPr/>
            </w:pPr>
            <w:r>
              <w:rPr/>
              <w:t>25,000</w:t>
            </w:r>
          </w:p>
        </w:tc>
        <w:tc>
          <w:tcPr>
            <w:tcW w:w="951" w:type="dxa"/>
            <w:tcBorders>
              <w:left w:val="single" w:sz="2" w:space="0" w:color="808080"/>
              <w:bottom w:val="single" w:sz="2" w:space="0" w:color="808080"/>
              <w:right w:val="single" w:sz="6" w:space="0" w:color="808080"/>
            </w:tcBorders>
            <w:vAlign w:val="center"/>
          </w:tcPr>
          <w:p>
            <w:pPr>
              <w:pStyle w:val="TableContents"/>
              <w:bidi w:val="0"/>
              <w:jc w:val="right"/>
              <w:rPr/>
            </w:pPr>
            <w:r>
              <w:rPr/>
              <w:t>96.5%</w:t>
            </w:r>
          </w:p>
        </w:tc>
        <w:tc>
          <w:tcPr>
            <w:tcW w:w="1641" w:type="dxa"/>
            <w:tcBorders>
              <w:left w:val="single" w:sz="2" w:space="0" w:color="808080"/>
              <w:bottom w:val="single" w:sz="2" w:space="0" w:color="808080"/>
              <w:right w:val="single" w:sz="6" w:space="0" w:color="808080"/>
            </w:tcBorders>
            <w:vAlign w:val="center"/>
          </w:tcPr>
          <w:p>
            <w:pPr>
              <w:pStyle w:val="TableContents"/>
              <w:bidi w:val="0"/>
              <w:jc w:val="right"/>
              <w:rPr/>
            </w:pPr>
            <w:r>
              <w:rPr/>
              <w:t>28</w:t>
            </w:r>
          </w:p>
        </w:tc>
      </w:tr>
      <w:tr>
        <w:trPr/>
        <w:tc>
          <w:tcPr>
            <w:tcW w:w="1147"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September</w:t>
            </w:r>
          </w:p>
        </w:tc>
        <w:tc>
          <w:tcPr>
            <w:tcW w:w="1183" w:type="dxa"/>
            <w:tcBorders>
              <w:left w:val="single" w:sz="2" w:space="0" w:color="808080"/>
              <w:bottom w:val="single" w:sz="2" w:space="0" w:color="808080"/>
              <w:right w:val="single" w:sz="6" w:space="0" w:color="808080"/>
            </w:tcBorders>
            <w:vAlign w:val="center"/>
          </w:tcPr>
          <w:p>
            <w:pPr>
              <w:pStyle w:val="TableContents"/>
              <w:bidi w:val="0"/>
              <w:jc w:val="right"/>
              <w:rPr/>
            </w:pPr>
            <w:r>
              <w:rPr/>
              <w:t>27,500</w:t>
            </w:r>
          </w:p>
        </w:tc>
        <w:tc>
          <w:tcPr>
            <w:tcW w:w="951" w:type="dxa"/>
            <w:tcBorders>
              <w:left w:val="single" w:sz="2" w:space="0" w:color="808080"/>
              <w:bottom w:val="single" w:sz="2" w:space="0" w:color="808080"/>
              <w:right w:val="single" w:sz="6" w:space="0" w:color="808080"/>
            </w:tcBorders>
            <w:vAlign w:val="center"/>
          </w:tcPr>
          <w:p>
            <w:pPr>
              <w:pStyle w:val="TableContents"/>
              <w:bidi w:val="0"/>
              <w:jc w:val="right"/>
              <w:rPr/>
            </w:pPr>
            <w:r>
              <w:rPr/>
              <w:t>96.6%</w:t>
            </w:r>
          </w:p>
        </w:tc>
        <w:tc>
          <w:tcPr>
            <w:tcW w:w="1641" w:type="dxa"/>
            <w:tcBorders>
              <w:left w:val="single" w:sz="2" w:space="0" w:color="808080"/>
              <w:bottom w:val="single" w:sz="2" w:space="0" w:color="808080"/>
              <w:right w:val="single" w:sz="6" w:space="0" w:color="808080"/>
            </w:tcBorders>
            <w:vAlign w:val="center"/>
          </w:tcPr>
          <w:p>
            <w:pPr>
              <w:pStyle w:val="TableContents"/>
              <w:bidi w:val="0"/>
              <w:jc w:val="right"/>
              <w:rPr/>
            </w:pPr>
            <w:r>
              <w:rPr/>
              <w:t>24</w:t>
            </w:r>
          </w:p>
        </w:tc>
      </w:tr>
      <w:tr>
        <w:trPr/>
        <w:tc>
          <w:tcPr>
            <w:tcW w:w="1147" w:type="dxa"/>
            <w:tcBorders>
              <w:left w:val="single" w:sz="6" w:space="0" w:color="808080"/>
              <w:bottom w:val="single" w:sz="6" w:space="0" w:color="808080"/>
              <w:right w:val="single" w:sz="6" w:space="0" w:color="808080"/>
            </w:tcBorders>
            <w:vAlign w:val="center"/>
          </w:tcPr>
          <w:p>
            <w:pPr>
              <w:pStyle w:val="TableContents"/>
              <w:bidi w:val="0"/>
              <w:jc w:val="left"/>
              <w:rPr>
                <w:b/>
              </w:rPr>
            </w:pPr>
            <w:r>
              <w:rPr>
                <w:b/>
              </w:rPr>
              <w:t>Quarter</w:t>
            </w:r>
          </w:p>
        </w:tc>
        <w:tc>
          <w:tcPr>
            <w:tcW w:w="1183" w:type="dxa"/>
            <w:tcBorders>
              <w:left w:val="single" w:sz="2" w:space="0" w:color="808080"/>
              <w:bottom w:val="single" w:sz="6" w:space="0" w:color="808080"/>
              <w:right w:val="single" w:sz="6" w:space="0" w:color="808080"/>
            </w:tcBorders>
            <w:vAlign w:val="center"/>
          </w:tcPr>
          <w:p>
            <w:pPr>
              <w:pStyle w:val="TableContents"/>
              <w:bidi w:val="0"/>
              <w:jc w:val="right"/>
              <w:rPr>
                <w:b/>
              </w:rPr>
            </w:pPr>
            <w:r>
              <w:rPr>
                <w:b/>
              </w:rPr>
              <w:t>74,500</w:t>
            </w:r>
          </w:p>
        </w:tc>
        <w:tc>
          <w:tcPr>
            <w:tcW w:w="951" w:type="dxa"/>
            <w:tcBorders>
              <w:left w:val="single" w:sz="2" w:space="0" w:color="808080"/>
              <w:bottom w:val="single" w:sz="6" w:space="0" w:color="808080"/>
              <w:right w:val="single" w:sz="6" w:space="0" w:color="808080"/>
            </w:tcBorders>
            <w:vAlign w:val="center"/>
          </w:tcPr>
          <w:p>
            <w:pPr>
              <w:pStyle w:val="TableContents"/>
              <w:bidi w:val="0"/>
              <w:jc w:val="right"/>
              <w:rPr>
                <w:b/>
              </w:rPr>
            </w:pPr>
            <w:r>
              <w:rPr>
                <w:b/>
              </w:rPr>
              <w:t>96.4%</w:t>
            </w:r>
          </w:p>
        </w:tc>
        <w:tc>
          <w:tcPr>
            <w:tcW w:w="1641" w:type="dxa"/>
            <w:tcBorders>
              <w:left w:val="single" w:sz="2" w:space="0" w:color="808080"/>
              <w:bottom w:val="single" w:sz="6" w:space="0" w:color="808080"/>
              <w:right w:val="single" w:sz="6" w:space="0" w:color="808080"/>
            </w:tcBorders>
            <w:vAlign w:val="center"/>
          </w:tcPr>
          <w:p>
            <w:pPr>
              <w:pStyle w:val="TableContents"/>
              <w:bidi w:val="0"/>
              <w:jc w:val="right"/>
              <w:rPr>
                <w:b/>
              </w:rPr>
            </w:pPr>
            <w:r>
              <w:rPr>
                <w:b/>
              </w:rPr>
              <w:t>83</w:t>
            </w:r>
          </w:p>
        </w:tc>
      </w:tr>
    </w:tbl>
    <w:p>
      <w:pPr>
        <w:pStyle w:val="Heading2"/>
        <w:bidi w:val="0"/>
        <w:jc w:val="left"/>
        <w:rPr/>
      </w:pPr>
      <w:r>
        <w:rPr/>
        <w:t>3. Sites</w:t>
      </w:r>
    </w:p>
    <w:p>
      <w:pPr>
        <w:pStyle w:val="BodyText"/>
        <w:bidi w:val="0"/>
        <w:jc w:val="left"/>
        <w:rPr/>
      </w:pPr>
      <w:r>
        <w:rPr/>
        <w:t>All four sites met their safety targets. Notes by site:</w:t>
      </w:r>
    </w:p>
    <w:p>
      <w:pPr>
        <w:pStyle w:val="BodyText"/>
        <w:numPr>
          <w:ilvl w:val="0"/>
          <w:numId w:val="2"/>
        </w:numPr>
        <w:tabs>
          <w:tab w:val="clear" w:pos="709"/>
          <w:tab w:val="left" w:pos="709" w:leader="none"/>
        </w:tabs>
        <w:bidi w:val="0"/>
        <w:spacing w:before="0" w:after="0"/>
        <w:ind w:hanging="283" w:left="709"/>
        <w:jc w:val="left"/>
        <w:rPr/>
      </w:pPr>
      <w:r>
        <w:rPr>
          <w:b/>
        </w:rPr>
        <w:t>Sacramento:</w:t>
      </w:r>
      <w:r>
        <w:rPr/>
        <w:t xml:space="preserve"> dock 4 reopened on August 12 after the floor repair. </w:t>
      </w:r>
    </w:p>
    <w:p>
      <w:pPr>
        <w:pStyle w:val="BodyText"/>
        <w:numPr>
          <w:ilvl w:val="0"/>
          <w:numId w:val="2"/>
        </w:numPr>
        <w:tabs>
          <w:tab w:val="clear" w:pos="709"/>
          <w:tab w:val="left" w:pos="709" w:leader="none"/>
        </w:tabs>
        <w:bidi w:val="0"/>
        <w:spacing w:before="0" w:after="0"/>
        <w:ind w:hanging="283" w:left="709"/>
        <w:jc w:val="left"/>
        <w:rPr/>
      </w:pPr>
      <w:r>
        <w:rPr>
          <w:b/>
        </w:rPr>
        <w:t>Reno:</w:t>
      </w:r>
      <w:r>
        <w:rPr/>
        <w:t xml:space="preserve"> second shift added on September 2; overtime fell 22% the following week. </w:t>
      </w:r>
    </w:p>
    <w:p>
      <w:pPr>
        <w:pStyle w:val="BodyText"/>
        <w:numPr>
          <w:ilvl w:val="0"/>
          <w:numId w:val="2"/>
        </w:numPr>
        <w:tabs>
          <w:tab w:val="clear" w:pos="709"/>
          <w:tab w:val="left" w:pos="709" w:leader="none"/>
        </w:tabs>
        <w:bidi w:val="0"/>
        <w:spacing w:before="0" w:after="0"/>
        <w:ind w:hanging="283" w:left="709"/>
        <w:jc w:val="left"/>
        <w:rPr/>
      </w:pPr>
      <w:r>
        <w:rPr>
          <w:b/>
        </w:rPr>
        <w:t>Denver:</w:t>
      </w:r>
      <w:r>
        <w:rPr/>
        <w:t xml:space="preserve"> the yard management trial ended; results are in Appendix A. </w:t>
      </w:r>
    </w:p>
    <w:p>
      <w:pPr>
        <w:pStyle w:val="BodyText"/>
        <w:numPr>
          <w:ilvl w:val="0"/>
          <w:numId w:val="2"/>
        </w:numPr>
        <w:tabs>
          <w:tab w:val="clear" w:pos="709"/>
          <w:tab w:val="left" w:pos="709" w:leader="none"/>
        </w:tabs>
        <w:bidi w:val="0"/>
        <w:ind w:hanging="283" w:left="709"/>
        <w:jc w:val="left"/>
        <w:rPr/>
      </w:pPr>
      <w:r>
        <w:rPr>
          <w:b/>
        </w:rPr>
        <w:t>Salt Lake City:</w:t>
      </w:r>
      <w:r>
        <w:rPr/>
        <w:t xml:space="preserve"> no changes this quarter. </w:t>
      </w:r>
    </w:p>
    <w:p>
      <w:pPr>
        <w:pStyle w:val="Heading2"/>
        <w:bidi w:val="0"/>
        <w:jc w:val="left"/>
        <w:rPr/>
      </w:pPr>
      <w:r>
        <w:rPr/>
        <w:t>4. Next quarter</w:t>
      </w:r>
    </w:p>
    <w:p>
      <w:pPr>
        <w:pStyle w:val="BodyText"/>
        <w:bidi w:val="0"/>
        <w:jc w:val="left"/>
        <w:rPr/>
      </w:pPr>
      <w:r>
        <w:rPr/>
        <w:t>We expect 80,000 to 84,000 shipments in Q4, with the usual peak in the two weeks before Thanksgiving. Temporary staffing requests are due by October 15.</w:t>
      </w:r>
      <w:r>
        <w:br w:type="page"/>
      </w:r>
    </w:p>
    <w:p>
      <w:pPr>
        <w:pStyle w:val="BodyText"/>
        <w:bidi w:val="0"/>
        <w:ind w:hanging="0" w:left="0" w:right="0"/>
        <w:jc w:val="left"/>
        <w:rPr>
          <w:b/>
        </w:rPr>
      </w:pPr>
      <w:r>
        <w:rPr>
          <w:b/>
        </w:rPr>
        <w:t>Appendix A. Yard management trial, Denver</w:t>
      </w:r>
    </w:p>
    <w:p>
      <w:pPr>
        <w:pStyle w:val="BodyText"/>
        <w:bidi w:val="0"/>
        <w:spacing w:before="0" w:after="140"/>
        <w:jc w:val="left"/>
        <w:rPr/>
      </w:pPr>
      <w:r>
        <w:rPr/>
        <w:t>The trial ran from July 7 to September 26. Average trailer dwell time fell from 3.1 hours to 2.4 hours. Drivers reported fewer missed appointments, and the gate staff asked to keep the tablets. We recommend rolling the system out to Sacramento in Q1 2027.</w:t>
      </w:r>
    </w:p>
    <w:sectPr>
      <w:type w:val="nextPage"/>
      <w:pgSz w:w="12240" w:h="15840"/>
      <w:pgMar w:left="1440" w:right="1440" w:gutter="0" w:header="0" w:top="1440" w:footer="0" w:bottom="144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erif">
    <w:altName w:val="Times New Roman"/>
    <w:charset w:val="00"/>
    <w:family w:val="auto"/>
    <w:pitch w:val="default"/>
  </w:font>
  <w:font w:name="Liberation Sans">
    <w:altName w:val="Arial"/>
    <w:charset w:val="00"/>
    <w:family w:val="auto"/>
    <w:pitch w:val="default"/>
  </w:font>
  <w:font w:name="OpenSymbol">
    <w:altName w:val="Arial Unicode MS"/>
    <w:charset w:val="02"/>
    <w:family w:val="auto"/>
    <w:pitch w:val="default"/>
  </w:font>
  <w:font w:name="Liberation Sans">
    <w:altName w:val="Arial"/>
    <w:charset w:val="00"/>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Liberation Serif" w:cs="Liberation Serif"/>
      <w:color w:val="auto"/>
      <w:sz w:val="22"/>
      <w:szCs w:val="22"/>
      <w:lang w:val="en-US" w:eastAsia="zh-CN" w:bidi="hi-IN"/>
    </w:rPr>
  </w:style>
  <w:style w:type="paragraph" w:styleId="Heading1">
    <w:name w:val="heading 1"/>
    <w:basedOn w:val="Heading"/>
    <w:next w:val="BodyText"/>
    <w:qFormat/>
    <w:pPr>
      <w:spacing w:before="240" w:after="120"/>
      <w:outlineLvl w:val="0"/>
    </w:pPr>
    <w:rPr>
      <w:rFonts w:ascii="Liberation Sans" w:hAnsi="Liberation Sans" w:eastAsia="Liberation Sans" w:cs="Liberation Sans"/>
      <w:b/>
      <w:bCs/>
      <w:sz w:val="48"/>
      <w:szCs w:val="48"/>
    </w:rPr>
  </w:style>
  <w:style w:type="paragraph" w:styleId="Heading2">
    <w:name w:val="heading 2"/>
    <w:basedOn w:val="Heading"/>
    <w:next w:val="BodyText"/>
    <w:qFormat/>
    <w:pPr>
      <w:spacing w:before="200" w:after="120"/>
      <w:outlineLvl w:val="1"/>
    </w:pPr>
    <w:rPr>
      <w:rFonts w:ascii="Liberation Sans" w:hAnsi="Liberation Sans" w:eastAsia="Liberation Sans" w:cs="Liberation Sans"/>
      <w:b/>
      <w:bCs/>
      <w:sz w:val="36"/>
      <w:szCs w:val="36"/>
    </w:rPr>
  </w:style>
  <w:style w:type="character" w:styleId="NumberingSymbols">
    <w:name w:val="Numbering Symbols"/>
    <w:qFormat/>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shd w:fill="E8EEF0" w:val="clear"/>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Q3 2026 Operations Report</dc:title>
</cp:coreProperties>
</file>

<file path=docProps/custom.xml><?xml version="1.0" encoding="utf-8"?>
<Properties xmlns="http://schemas.openxmlformats.org/officeDocument/2006/custom-properties" xmlns:vt="http://schemas.openxmlformats.org/officeDocument/2006/docPropsVTypes"/>
</file>