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c="http://schemas.openxmlformats.org/drawingml/2006/chart" xmlns:pic="http://schemas.openxmlformats.org/drawingml/2006/picture" xmlns:mc="http://schemas.openxmlformats.org/markup-compatibility/2006" xmlns:w14="http://schemas.microsoft.com/office/word/2010/wordml" xmlns:wpi="http://schemas.microsoft.com/office/word/2010/wordprocessingInk" xmlns:w15="http://schemas.microsoft.com/office/word/2012/wordml" xmlns:wp14="http://schemas.microsoft.com/office/word/2010/wordprocessingDrawing" xmlns:wps="http://schemas.microsoft.com/office/word/2010/wordprocessingShape" xmlns:wpg="http://schemas.microsoft.com/office/word/2010/wordprocessingGroup" xmlns:wpc="http://schemas.microsoft.com/office/word/2010/wordprocessingCanvas" xmlns:dgm="http://schemas.openxmlformats.org/drawingml/2006/diagram" xmlns:dsp="http://schemas.microsoft.com/office/drawing/2008/diagram" xmlns:m="http://schemas.openxmlformats.org/officeDocument/2006/math" xmlns:v="urn:schemas-microsoft-com:vml" xmlns:o="urn:schemas-microsoft-com:office:office" xmlns:w10="urn:schemas-microsoft-com:office:wor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mc:Ignorable="w14 w15 wp14">
  <w:body>
    <w:p>
      <w:pPr>
        <w:pStyle w:val="Title"/>
        <w:jc w:val="left"/>
      </w:pPr>
      <w:r>
        <w:t xml:space="preserve">Plot holder guide 2027</w:t>
      </w:r>
    </w:p>
    <w:p>
      <w:pPr>
        <w:keepNext/>
      </w:pPr>
      <w:r>
        <w:rPr>
          <w:rFonts w:ascii="Liberation Sans" w:hAnsi="Liberation Sans"/>
          <w:i/>
          <w:color w:val="5A5A5A"/>
          <w:sz w:val="28"/>
        </w:rPr>
        <w:t xml:space="preserve">Maple Hollow Community Garden, season of April 3 to November 13</w:t>
      </w:r>
    </w:p>
    <w:p>
      <w:r>
        <w:t xml:space="preserve">Welcome to the garden. This guide covers what to do before opening day, what each plot costs, where the water taps are and the rules every plot holder agrees to. Keep it with your gloves; the committee updates it each winter.</w:t>
      </w:r>
    </w:p>
    <w:p>
      <w:pPr>
        <w:pStyle w:val="Heading1"/>
      </w:pPr>
      <w:r>
        <w:t xml:space="preserve">Before opening day</w:t>
      </w:r>
    </w:p>
    <w:p>
      <w:pPr>
        <w:pStyle w:val="ListParagraph"/>
        <w:numPr>
          <w:ilvl w:val="0"/>
          <w:numId w:val="1"/>
        </w:numPr>
      </w:pPr>
      <w:r>
        <w:t xml:space="preserve">Sign the plot agreement and pay the season fee by </w:t>
      </w:r>
      <w:r>
        <w:rPr>
          <w:b/>
        </w:rPr>
        <w:t xml:space="preserve">March 20</w:t>
      </w:r>
      <w:r>
        <w:t xml:space="preserve">.</w:t>
      </w:r>
    </w:p>
    <w:p>
      <w:pPr>
        <w:pStyle w:val="ListParagraph"/>
        <w:numPr>
          <w:ilvl w:val="0"/>
          <w:numId w:val="1"/>
        </w:numPr>
      </w:pPr>
      <w:r>
        <w:t xml:space="preserve">Pick up your gate key at the tool shed on one of the two orientation mornings:</w:t>
      </w:r>
    </w:p>
    <w:p>
      <w:pPr>
        <w:pStyle w:val="ListParagraph"/>
        <w:numPr>
          <w:ilvl w:val="1"/>
          <w:numId w:val="1"/>
        </w:numPr>
      </w:pPr>
      <w:r>
        <w:t xml:space="preserve">Saturday, March 27, 9:00 to 11:00</w:t>
      </w:r>
    </w:p>
    <w:p>
      <w:pPr>
        <w:pStyle w:val="ListParagraph"/>
        <w:numPr>
          <w:ilvl w:val="1"/>
          <w:numId w:val="1"/>
        </w:numPr>
      </w:pPr>
      <w:r>
        <w:t xml:space="preserve">Sunday, March 28, 13:00 to 15:00</w:t>
      </w:r>
    </w:p>
    <w:p>
      <w:pPr>
        <w:pStyle w:val="ListParagraph"/>
        <w:numPr>
          <w:ilvl w:val="0"/>
          <w:numId w:val="1"/>
        </w:numPr>
      </w:pPr>
      <w:r>
        <w:t xml:space="preserve">Clear last year's stakes and twine from your plot before you plant anything.</w:t>
      </w:r>
    </w:p>
    <w:p>
      <w:pPr>
        <w:pStyle w:val="Heading1"/>
      </w:pPr>
      <w:r>
        <w:t xml:space="preserve">Plot sizes and fees</w:t>
      </w:r>
    </w:p>
    <w:p>
      <w:r>
        <w:t xml:space="preserve">Fees cover water, mulch deliveries and the shared tools. Raised beds are reserved for gardeners who cannot kneel or bend.</w:t>
      </w:r>
    </w:p>
    <w:tbl>
      <w:tblPr>
        <w:tblStyle w:val="TableGrid"/>
        <w:tblW w:w="0" w:type="auto"/>
        <w:tblLook w:val="04A0" w:firstRow="1" w:lastRow="0" w:firstColumn="1" w:lastColumn="0" w:noHBand="0" w:noVBand="1"/>
      </w:tblPr>
      <w:tblGrid>
        <w:gridCol w:w="2340"/>
        <w:gridCol w:w="2340"/>
        <w:gridCol w:w="2340"/>
        <w:gridCol w:w="2340"/>
      </w:tblGrid>
      <w:tr>
        <w:trPr>
          <w:tblHeader/>
        </w:trPr>
        <w:tc>
          <w:tcPr>
            <w:tcW w:w="2340" w:type="dxa"/>
            <w:shd w:val="clear" w:color="auto" w:fill="D9EAD3"/>
          </w:tcPr>
          <w:p>
            <w:r>
              <w:rPr>
                <w:b/>
              </w:rPr>
              <w:t xml:space="preserve">Plot type</w:t>
            </w:r>
          </w:p>
        </w:tc>
        <w:tc>
          <w:tcPr>
            <w:tcW w:w="2340" w:type="dxa"/>
            <w:shd w:val="clear" w:color="auto" w:fill="D9EAD3"/>
          </w:tcPr>
          <w:p>
            <w:r>
              <w:rPr>
                <w:b/>
              </w:rPr>
              <w:t xml:space="preserve">Size</w:t>
            </w:r>
          </w:p>
        </w:tc>
        <w:tc>
          <w:tcPr>
            <w:tcW w:w="2340" w:type="dxa"/>
            <w:shd w:val="clear" w:color="auto" w:fill="D9EAD3"/>
          </w:tcPr>
          <w:p>
            <w:pPr>
              <w:jc w:val="right"/>
            </w:pPr>
            <w:r>
              <w:rPr>
                <w:b/>
              </w:rPr>
              <w:t xml:space="preserve">Season fee</w:t>
            </w:r>
          </w:p>
        </w:tc>
        <w:tc>
          <w:tcPr>
            <w:tcW w:w="2340" w:type="dxa"/>
            <w:shd w:val="clear" w:color="auto" w:fill="D9EAD3"/>
          </w:tcPr>
          <w:p>
            <w:r>
              <w:rPr>
                <w:b/>
              </w:rPr>
              <w:t xml:space="preserve">Plots on the map</w:t>
            </w:r>
          </w:p>
        </w:tc>
      </w:tr>
      <w:tr>
        <w:tc>
          <w:tcPr>
            <w:tcW w:w="2340" w:type="dxa"/>
          </w:tcPr>
          <w:p>
            <w:r>
              <w:t xml:space="preserve">Small plot</w:t>
            </w:r>
          </w:p>
        </w:tc>
        <w:tc>
          <w:tcPr>
            <w:tcW w:w="2340" w:type="dxa"/>
          </w:tcPr>
          <w:p>
            <w:r>
              <w:t xml:space="preserve">10 × 10 ft</w:t>
            </w:r>
          </w:p>
        </w:tc>
        <w:tc>
          <w:tcPr>
            <w:tcW w:w="2340" w:type="dxa"/>
          </w:tcPr>
          <w:p>
            <w:pPr>
              <w:jc w:val="right"/>
            </w:pPr>
            <w:r>
              <w:t xml:space="preserve">$35.00</w:t>
            </w:r>
          </w:p>
        </w:tc>
        <w:tc>
          <w:tcPr>
            <w:tcW w:w="2340" w:type="dxa"/>
          </w:tcPr>
          <w:p>
            <w:r>
              <w:t xml:space="preserve">S2, S3, S11, S12</w:t>
            </w:r>
          </w:p>
        </w:tc>
      </w:tr>
      <w:tr>
        <w:tc>
          <w:tcPr>
            <w:tcW w:w="2340" w:type="dxa"/>
          </w:tcPr>
          <w:p>
            <w:r>
              <w:t xml:space="preserve">Full plot</w:t>
            </w:r>
          </w:p>
        </w:tc>
        <w:tc>
          <w:tcPr>
            <w:tcW w:w="2340" w:type="dxa"/>
          </w:tcPr>
          <w:p>
            <w:r>
              <w:t xml:space="preserve">10 × 20 ft</w:t>
            </w:r>
          </w:p>
        </w:tc>
        <w:tc>
          <w:tcPr>
            <w:tcW w:w="2340" w:type="dxa"/>
          </w:tcPr>
          <w:p>
            <w:pPr>
              <w:jc w:val="right"/>
            </w:pPr>
            <w:r>
              <w:t xml:space="preserve">$60.00</w:t>
            </w:r>
          </w:p>
        </w:tc>
        <w:tc>
          <w:tcPr>
            <w:tcW w:w="2340" w:type="dxa"/>
          </w:tcPr>
          <w:p>
            <w:r>
              <w:t xml:space="preserve">F4 to F9</w:t>
            </w:r>
          </w:p>
        </w:tc>
      </w:tr>
      <w:tr>
        <w:tc>
          <w:tcPr>
            <w:tcW w:w="2340" w:type="dxa"/>
          </w:tcPr>
          <w:p>
            <w:r>
              <w:t xml:space="preserve">Raised bed</w:t>
            </w:r>
          </w:p>
        </w:tc>
        <w:tc>
          <w:tcPr>
            <w:tcW w:w="2340" w:type="dxa"/>
          </w:tcPr>
          <w:p>
            <w:r>
              <w:t xml:space="preserve">4 × 12 ft</w:t>
            </w:r>
          </w:p>
        </w:tc>
        <w:tc>
          <w:tcPr>
            <w:tcW w:w="2340" w:type="dxa"/>
          </w:tcPr>
          <w:p>
            <w:pPr>
              <w:jc w:val="right"/>
            </w:pPr>
            <w:r>
              <w:t xml:space="preserve">$25.00</w:t>
            </w:r>
          </w:p>
        </w:tc>
        <w:tc>
          <w:tcPr>
            <w:tcW w:w="2340" w:type="dxa"/>
          </w:tcPr>
          <w:p>
            <w:r>
              <w:t xml:space="preserve">R1, R10</w:t>
            </w:r>
          </w:p>
        </w:tc>
      </w:tr>
      <w:tr>
        <w:tc>
          <w:tcPr>
            <w:tcW w:w="4680" w:type="dxa"/>
            <w:gridSpan w:val="2"/>
          </w:tcPr>
          <w:p>
            <w:r>
              <w:t xml:space="preserve">Late sign-up (after March 20)</w:t>
            </w:r>
          </w:p>
        </w:tc>
        <w:tc>
          <w:tcPr>
            <w:tcW w:w="2340" w:type="dxa"/>
          </w:tcPr>
          <w:p>
            <w:pPr>
              <w:jc w:val="right"/>
            </w:pPr>
            <w:r>
              <w:t xml:space="preserve">+ $10.00</w:t>
            </w:r>
          </w:p>
        </w:tc>
        <w:tc>
          <w:tcPr>
            <w:tcW w:w="2340" w:type="dxa"/>
          </w:tcPr>
          <w:p>
            <w:r>
              <w:t xml:space="preserve">Any open plot</w:t>
            </w:r>
          </w:p>
        </w:tc>
      </w:tr>
    </w:tbl>
    <w:p>
      <w:pPr>
        <w:pStyle w:val="Heading2"/>
        <w:pageBreakBefore/>
      </w:pPr>
      <w:r>
        <w:t xml:space="preserve">Plot map</w:t>
      </w:r>
    </w:p>
    <w:p>
      <w:pPr>
        <w:jc w:val="center"/>
      </w:pPr>
    </w:p>
    <w:p/>
    <w:p>
      <w:r>
        <w:drawing>
          <wp:inline distT="0" distB="0" distL="0" distR="0">
            <wp:extent cx="5486766" cy="2743566"/>
            <wp:effectExtent l="0" t="0" r="0" b="0"/>
            <wp:docPr id="1" name="Picture 1" descr="Plot mapMap of the twelve plots on both sides of the center path, with the two water taps."/>
            <wp:cNvGraphicFramePr/>
            <a:graphic>
              <a:graphicData uri="http://schemas.openxmlformats.org/drawingml/2006/picture">
                <pic:pic>
                  <pic:nvPicPr>
                    <pic:cNvPr id="0" name="image1.png" descr="Plot mapMap of the twelve plots on both sides of the center path, with the two water taps."/>
                    <pic:cNvPicPr>
                      <a:picLocks noChangeAspect="1" noChangeArrowheads="1"/>
                    </pic:cNvPicPr>
                  </pic:nvPicPr>
                  <pic:blipFill>
                    <a:blip r:embed="rId1"/>
                    <a:stretch>
                      <a:fillRect/>
                    </a:stretch>
                  </pic:blipFill>
                  <pic:spPr bwMode="auto">
                    <a:xfrm>
                      <a:off x="0" y="0"/>
                      <a:ext cx="5486766" cy="2743566"/>
                    </a:xfrm>
                    <a:prstGeom prst="rect">
                      <a:avLst/>
                    </a:prstGeom>
                  </pic:spPr>
                </pic:pic>
              </a:graphicData>
            </a:graphic>
          </wp:inline>
        </w:drawing>
      </w:r>
    </w:p>
    <w:p>
      <w:r>
        <w:rPr>
          <w:i/>
          <w:sz w:val="18"/>
        </w:rPr>
        <w:t xml:space="preserve">Figure 1: plots R1 and R10 are the raised beds. The blue circles are the water taps.</w:t>
      </w:r>
    </w:p>
    <w:p>
      <w:pPr>
        <w:pStyle w:val="Heading1"/>
      </w:pPr>
      <w:r>
        <w:t xml:space="preserve">Garden rules</w:t>
      </w:r>
    </w:p>
    <w:p>
      <w:pPr>
        <w:pStyle w:val="ListParagraph"/>
        <w:numPr>
          <w:ilvl w:val="0"/>
          <w:numId w:val="2"/>
        </w:numPr>
      </w:pPr>
      <w:r>
        <w:t xml:space="preserve">Water only by hand or with a soaker hose. </w:t>
      </w:r>
      <w:r>
        <w:rPr>
          <w:b/>
          <w:color w:val="B22222"/>
        </w:rPr>
        <w:t xml:space="preserve">Sprinklers are not allowed.</w:t>
      </w:r>
    </w:p>
    <w:p>
      <w:pPr>
        <w:pStyle w:val="ListParagraph"/>
        <w:numPr>
          <w:ilvl w:val="0"/>
          <w:numId w:val="2"/>
        </w:numPr>
      </w:pPr>
      <w:r>
        <w:t xml:space="preserve">Follow the posted watering days; the current schedule is at </w:t>
      </w:r>
      <w:hyperlink r:id="rId2" w:history="1">
        <w:r>
          <w:rPr>
            <w:color w:val="000080"/>
            <w:u w:val="single"/>
          </w:rPr>
          <w:t xml:space="preserve">example.org/maple-hollow/water-schedule</w:t>
        </w:r>
      </w:hyperlink>
      <w:r>
        <w:t xml:space="preserve">.</w:t>
      </w:r>
    </w:p>
    <w:p>
      <w:pPr>
        <w:pStyle w:val="ListParagraph"/>
        <w:numPr>
          <w:ilvl w:val="0"/>
          <w:numId w:val="2"/>
        </w:numPr>
      </w:pPr>
      <w:r>
        <w:t xml:space="preserve">Keep plants inside your plot and under </w:t>
      </w:r>
      <w:r>
        <w:rPr>
          <w:i/>
        </w:rPr>
        <w:t xml:space="preserve">six feet</w:t>
      </w:r>
      <w:r>
        <w:t xml:space="preserve"> tall so they do not shade your neighbors.</w:t>
      </w:r>
    </w:p>
    <w:p>
      <w:pPr>
        <w:pStyle w:val="ListParagraph"/>
        <w:numPr>
          <w:ilvl w:val="0"/>
          <w:numId w:val="2"/>
        </w:numPr>
      </w:pPr>
      <w:r>
        <w:t xml:space="preserve">Put weeds and spent plants in the compost bays, never in the path.</w:t>
      </w:r>
    </w:p>
    <w:p>
      <w:pPr>
        <w:pStyle w:val="ListParagraph"/>
        <w:numPr>
          <w:ilvl w:val="0"/>
          <w:numId w:val="2"/>
        </w:numPr>
      </w:pPr>
      <w:r>
        <w:t xml:space="preserve">Return shared tools to the shed the same day and lock the gate when you leave.</w:t>
      </w:r>
    </w:p>
    <w:p>
      <w:pPr>
        <w:pStyle w:val="Heading2"/>
      </w:pPr>
      <w:r>
        <w:t xml:space="preserve">Work hours</w:t>
      </w:r>
    </w:p>
    <w:p>
      <w:r>
        <w:t xml:space="preserve">Each plot holder gives </w:t>
      </w:r>
      <w:r>
        <w:rPr>
          <w:shd w:val="clear" w:color="auto" w:fill="FFF2A8"/>
        </w:rPr>
        <w:t xml:space="preserve">six hours a season</w:t>
      </w:r>
      <w:r>
        <w:t xml:space="preserve"> to shared jobs: turning compost, mowing the edges and staffing the fall harvest table. Sign up on the board inside the shed door. Hours not worked by November 1 are billed at $15.00 an hour.</w:t>
      </w:r>
    </w:p>
    <w:p>
      <w:pPr>
        <w:pStyle w:val="Heading2"/>
      </w:pPr>
      <w:r>
        <w:t xml:space="preserve">Leaving the garden</w:t>
      </w:r>
    </w:p>
    <w:p>
      <w:r>
        <w:t xml:space="preserve">If you give up your plot before the season ends, tell the committee in writing and clear the plot within two weeks. Fees are not refunded, but the plot goes to the first gardener on the waiting list.</w:t>
      </w:r>
    </w:p>
    <w:sectPr>
      <w:headerReference w:type="default" r:id="rId3"/>
      <w:footerReference w:type="default" r:id="rId4"/>
      <w:type w:val="nextPage"/>
      <w:pgSz w:w="12240" w:h="15840"/>
      <w:pgMar w:top="864" w:right="1440" w:bottom="864" w:left="1440" w:header="720" w:footer="720" w:gutter="0"/>
      <w:cols w:space="720" w:num="1"/>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c="http://schemas.openxmlformats.org/drawingml/2006/chart" xmlns:pic="http://schemas.openxmlformats.org/drawingml/2006/picture" xmlns:mc="http://schemas.openxmlformats.org/markup-compatibility/2006" xmlns:w14="http://schemas.microsoft.com/office/word/2010/wordml" xmlns:wpi="http://schemas.microsoft.com/office/word/2010/wordprocessingInk" xmlns:w15="http://schemas.microsoft.com/office/word/2012/wordml" xmlns:wp14="http://schemas.microsoft.com/office/word/2010/wordprocessingDrawing" xmlns:wps="http://schemas.microsoft.com/office/word/2010/wordprocessingShape" xmlns:wpg="http://schemas.microsoft.com/office/word/2010/wordprocessingGroup" xmlns:wpc="http://schemas.microsoft.com/office/word/2010/wordprocessingCanvas" xmlns:dgm="http://schemas.openxmlformats.org/drawingml/2006/diagram" xmlns:dsp="http://schemas.microsoft.com/office/drawing/2008/diagram" xmlns:m="http://schemas.openxmlformats.org/officeDocument/2006/math" xmlns:v="urn:schemas-microsoft-com:vml" xmlns:o="urn:schemas-microsoft-com:office:office" xmlns:w10="urn:schemas-microsoft-com:office:wor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mc:Ignorable="w14 w15 wp14">
  <w:p>
    <w:pPr>
      <w:jc w:val="center"/>
    </w:pPr>
    <w:r>
      <w:rPr>
        <w:rFonts w:ascii="Liberation Sans" w:hAnsi="Liberation Sans"/>
        <w:sz w:val="18"/>
      </w:rPr>
      <w:t xml:space="preserve">Plot holder guide, page 2 of 2</w:t>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c="http://schemas.openxmlformats.org/drawingml/2006/chart" xmlns:pic="http://schemas.openxmlformats.org/drawingml/2006/picture" xmlns:mc="http://schemas.openxmlformats.org/markup-compatibility/2006" xmlns:w14="http://schemas.microsoft.com/office/word/2010/wordml" xmlns:wpi="http://schemas.microsoft.com/office/word/2010/wordprocessingInk" xmlns:w15="http://schemas.microsoft.com/office/word/2012/wordml" xmlns:wp14="http://schemas.microsoft.com/office/word/2010/wordprocessingDrawing" xmlns:wps="http://schemas.microsoft.com/office/word/2010/wordprocessingShape" xmlns:wpg="http://schemas.microsoft.com/office/word/2010/wordprocessingGroup" xmlns:wpc="http://schemas.microsoft.com/office/word/2010/wordprocessingCanvas" xmlns:dgm="http://schemas.openxmlformats.org/drawingml/2006/diagram" xmlns:dsp="http://schemas.microsoft.com/office/drawing/2008/diagram" xmlns:m="http://schemas.openxmlformats.org/officeDocument/2006/math" xmlns:v="urn:schemas-microsoft-com:vml" xmlns:o="urn:schemas-microsoft-com:office:office" xmlns:w10="urn:schemas-microsoft-com:office:wor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mc:Ignorable="w14 w15 wp14">
  <w:p>
    <w:pPr>
      <w:jc w:val="right"/>
    </w:pPr>
    <w:r>
      <w:rPr>
        <w:rFonts w:ascii="Liberation Sans" w:hAnsi="Liberation Sans"/>
        <w:color w:val="5A5A5A"/>
        <w:sz w:val="18"/>
      </w:rPr>
      <w:t xml:space="preserve">Maple Hollow Community Garden</w:t>
    </w:r>
  </w:p>
</w:hdr>
</file>

<file path=word/numbering.xml><?xml version="1.0" encoding="utf-8"?>
<w:numbering xmlns:w="http://schemas.openxmlformats.org/wordprocessingml/2006/main" xmlns:r="http://schemas.openxmlformats.org/officeDocument/2006/relationships" xmlns:wp="http://schemas.openxmlformats.org/drawingml/2006/wordprocessingDrawing" xmlns:a="http://schemas.openxmlformats.org/drawingml/2006/main" xmlns:c="http://schemas.openxmlformats.org/drawingml/2006/chart" xmlns:pic="http://schemas.openxmlformats.org/drawingml/2006/picture" xmlns:mc="http://schemas.openxmlformats.org/markup-compatibility/2006" xmlns:w14="http://schemas.microsoft.com/office/word/2010/wordml" xmlns:wpi="http://schemas.microsoft.com/office/word/2010/wordprocessingInk" xmlns:w15="http://schemas.microsoft.com/office/word/2012/wordml" xmlns:wp14="http://schemas.microsoft.com/office/word/2010/wordprocessingDrawing" xmlns:wps="http://schemas.microsoft.com/office/word/2010/wordprocessingShape" xmlns:wpg="http://schemas.microsoft.com/office/word/2010/wordprocessingGroup" xmlns:wpc="http://schemas.microsoft.com/office/word/2010/wordprocessingCanvas" xmlns:dgm="http://schemas.openxmlformats.org/drawingml/2006/diagram" xmlns:dsp="http://schemas.microsoft.com/office/drawing/2008/diagram" xmlns:m="http://schemas.openxmlformats.org/officeDocument/2006/math" xmlns:v="urn:schemas-microsoft-com:vml" xmlns:o="urn:schemas-microsoft-com:office:office" xmlns:w10="urn:schemas-microsoft-com:office:wor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mc:Ignorable="w14 w15 wp14">
  <w:abstractNum w:abstractNumId="0">
    <w:multiLevelType w:val="multilevel"/>
    <w:lvl w:ilvl="0">
      <w:start w:val="1"/>
      <w:numFmt w:val="decimal"/>
      <w:lvlText w:val="%1."/>
      <w:lvlJc w:val="left"/>
      <w:pPr>
        <w:ind w:left="720" w:hanging="360"/>
      </w:pPr>
    </w:lvl>
    <w:lvl w:ilvl="1">
      <w:start w:val="1"/>
      <w:numFmt w:val="bullet"/>
      <w:lvlText w:val="○"/>
      <w:lvlJc w:val="left"/>
      <w:pPr>
        <w:ind w:left="1440" w:hanging="360"/>
      </w:pPr>
      <w:rPr>
        <w:rFonts w:ascii="Arial" w:hAnsi="Arial"/>
      </w:r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
    <w:multiLevelType w:val="multilevel"/>
    <w:lvl w:ilvl="0">
      <w:start w:val="1"/>
      <w:numFmt w:val="bullet"/>
      <w:lvlText w:val="•"/>
      <w:lvlJc w:val="left"/>
      <w:pPr>
        <w:ind w:left="720" w:hanging="360"/>
      </w:pPr>
      <w:rPr>
        <w:rFonts w:ascii="Arial" w:hAnsi="Arial"/>
      </w:rPr>
    </w:lvl>
    <w:lvl w:ilvl="1">
      <w:start w:val="1"/>
      <w:numFmt w:val="bullet"/>
      <w:lvlText w:val="○"/>
      <w:lvlJc w:val="left"/>
      <w:pPr>
        <w:ind w:left="1440" w:hanging="360"/>
      </w:pPr>
      <w:rPr>
        <w:rFonts w:ascii="Arial" w:hAnsi="Arial"/>
      </w:rPr>
    </w:lvl>
    <w:lvl w:ilvl="2">
      <w:start w:val="1"/>
      <w:numFmt w:val="bullet"/>
      <w:lvlText w:val="▪"/>
      <w:lvlJc w:val="left"/>
      <w:pPr>
        <w:ind w:left="2160" w:hanging="360"/>
      </w:pPr>
      <w:rPr>
        <w:rFonts w:ascii="Arial" w:hAnsi="Arial"/>
      </w:rPr>
    </w:lvl>
    <w:lvl w:ilvl="3">
      <w:start w:val="1"/>
      <w:numFmt w:val="bullet"/>
      <w:lvlText w:val="•"/>
      <w:lvlJc w:val="left"/>
      <w:pPr>
        <w:ind w:left="2880" w:hanging="360"/>
      </w:pPr>
      <w:rPr>
        <w:rFonts w:ascii="Arial" w:hAnsi="Arial"/>
      </w:rPr>
    </w:lvl>
    <w:lvl w:ilvl="4">
      <w:start w:val="1"/>
      <w:numFmt w:val="bullet"/>
      <w:lvlText w:val="○"/>
      <w:lvlJc w:val="left"/>
      <w:pPr>
        <w:ind w:left="3600" w:hanging="360"/>
      </w:pPr>
      <w:rPr>
        <w:rFonts w:ascii="Arial" w:hAnsi="Arial"/>
      </w:rPr>
    </w:lvl>
    <w:lvl w:ilvl="5">
      <w:start w:val="1"/>
      <w:numFmt w:val="bullet"/>
      <w:lvlText w:val="▪"/>
      <w:lvlJc w:val="left"/>
      <w:pPr>
        <w:ind w:left="4320" w:hanging="360"/>
      </w:pPr>
      <w:rPr>
        <w:rFonts w:ascii="Arial" w:hAnsi="Arial"/>
      </w:rPr>
    </w:lvl>
    <w:lvl w:ilvl="6">
      <w:start w:val="1"/>
      <w:numFmt w:val="bullet"/>
      <w:lvlText w:val="•"/>
      <w:lvlJc w:val="left"/>
      <w:pPr>
        <w:ind w:left="5040" w:hanging="360"/>
      </w:pPr>
      <w:rPr>
        <w:rFonts w:ascii="Arial" w:hAnsi="Arial"/>
      </w:rPr>
    </w:lvl>
    <w:lvl w:ilvl="7">
      <w:start w:val="1"/>
      <w:numFmt w:val="bullet"/>
      <w:lvlText w:val="○"/>
      <w:lvlJc w:val="left"/>
      <w:pPr>
        <w:ind w:left="5760" w:hanging="360"/>
      </w:pPr>
      <w:rPr>
        <w:rFonts w:ascii="Arial" w:hAnsi="Arial"/>
      </w:rPr>
    </w:lvl>
    <w:lvl w:ilvl="8">
      <w:start w:val="1"/>
      <w:numFmt w:val="bullet"/>
      <w:lvlText w:val="▪"/>
      <w:lvlJc w:val="left"/>
      <w:pPr>
        <w:ind w:left="6480" w:hanging="360"/>
      </w:pPr>
      <w:rPr>
        <w:rFonts w:ascii="Arial" w:hAnsi="Arial"/>
      </w:rPr>
    </w:lvl>
  </w:abstractNum>
  <w:num w:numId="1">
    <w:abstractNumId w:val="0"/>
  </w:num>
  <w:num w:numId="2">
    <w:abstractNumId w:val="1"/>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a="http://schemas.openxmlformats.org/drawingml/2006/main" xmlns:c="http://schemas.openxmlformats.org/drawingml/2006/chart" xmlns:pic="http://schemas.openxmlformats.org/drawingml/2006/picture" xmlns:mc="http://schemas.openxmlformats.org/markup-compatibility/2006" xmlns:w14="http://schemas.microsoft.com/office/word/2010/wordml" xmlns:wpi="http://schemas.microsoft.com/office/word/2010/wordprocessingInk" xmlns:w15="http://schemas.microsoft.com/office/word/2012/wordml" xmlns:wp14="http://schemas.microsoft.com/office/word/2010/wordprocessingDrawing" xmlns:wps="http://schemas.microsoft.com/office/word/2010/wordprocessingShape" xmlns:wpg="http://schemas.microsoft.com/office/word/2010/wordprocessingGroup" xmlns:wpc="http://schemas.microsoft.com/office/word/2010/wordprocessingCanvas" xmlns:dgm="http://schemas.openxmlformats.org/drawingml/2006/diagram" xmlns:dsp="http://schemas.microsoft.com/office/drawing/2008/diagram" xmlns:m="http://schemas.openxmlformats.org/officeDocument/2006/math" xmlns:v="urn:schemas-microsoft-com:vml" xmlns:o="urn:schemas-microsoft-com:office:office" xmlns:w10="urn:schemas-microsoft-com:office:wor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mc:Ignorable="w14 w15 wp14">
  <w:zoom w:percent="100"/>
  <w:defaultTabStop w:val="720"/>
  <w:characterSpacingControl w:val="doNotCompress"/>
  <w:footnotePr>
    <w:numFmt w:val="decimal"/>
  </w:footnotePr>
  <w:endnotePr>
    <w:numFmt w:val="lowerRoman"/>
  </w:endnotePr>
  <w:compat>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xmlns:wp="http://schemas.openxmlformats.org/drawingml/2006/wordprocessingDrawing" xmlns:a="http://schemas.openxmlformats.org/drawingml/2006/main" xmlns:c="http://schemas.openxmlformats.org/drawingml/2006/chart" xmlns:pic="http://schemas.openxmlformats.org/drawingml/2006/picture" xmlns:mc="http://schemas.openxmlformats.org/markup-compatibility/2006" xmlns:w14="http://schemas.microsoft.com/office/word/2010/wordml" xmlns:wpi="http://schemas.microsoft.com/office/word/2010/wordprocessingInk" xmlns:w15="http://schemas.microsoft.com/office/word/2012/wordml" xmlns:wp14="http://schemas.microsoft.com/office/word/2010/wordprocessingDrawing" xmlns:wps="http://schemas.microsoft.com/office/word/2010/wordprocessingShape" xmlns:wpg="http://schemas.microsoft.com/office/word/2010/wordprocessingGroup" xmlns:wpc="http://schemas.microsoft.com/office/word/2010/wordprocessingCanvas" xmlns:dgm="http://schemas.openxmlformats.org/drawingml/2006/diagram" xmlns:dsp="http://schemas.microsoft.com/office/drawing/2008/diagram" xmlns:m="http://schemas.openxmlformats.org/officeDocument/2006/math" xmlns:v="urn:schemas-microsoft-com:vml" xmlns:o="urn:schemas-microsoft-com:office:office" xmlns:w10="urn:schemas-microsoft-com:office:wor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mc:Ignorable="w14 w15 wp14">
  <w:docDefaults>
    <w:rPrDefault>
      <w:rPr>
        <w:rFonts w:ascii="Liberation Serif" w:hAnsi="Liberation Serif"/>
        <w:kern w:val="2"/>
        <w:sz w:val="24"/>
        <w:lang w:val="en-US"/>
      </w:rPr>
    </w:rPrDefault>
    <w:pPrDefault>
      <w:pPr>
        <w:widowControl/>
        <w:spacing w:before="0" w:after="160" w:line="276" w:lineRule="auto"/>
      </w:pPr>
    </w:pPrDefault>
  </w:docDefaults>
  <w:style w:type="paragraph" w:styleId="Normal" w:default="1">
    <w:name w:val="Normal"/>
    <w:uiPriority w:val="0"/>
    <w:qFormat/>
  </w:style>
  <w:style w:type="character" w:styleId="DefaultParagraphFont" w:default="1">
    <w:name w:val="Default Paragraph Font"/>
    <w:uiPriority w:val="1"/>
    <w:semiHidden/>
    <w:unhideWhenUsed/>
  </w:style>
  <w:style w:type="paragraph" w:styleId="NoSpacing">
    <w:name w:val="No Spacing"/>
    <w:basedOn w:val="Normal"/>
    <w:uiPriority w:val="1"/>
    <w:qFormat/>
    <w:pPr>
      <w:spacing w:after="0" w:line="240" w:lineRule="auto"/>
    </w:pPr>
  </w:style>
  <w:style w:type="paragraph" w:styleId="Heading1">
    <w:name w:val="heading 1"/>
    <w:basedOn w:val="Normal"/>
    <w:next w:val="Normal"/>
    <w:link w:val="Heading1Char"/>
    <w:uiPriority w:val="10"/>
    <w:qFormat/>
    <w:pPr>
      <w:keepNext/>
      <w:keepLines/>
      <w:spacing w:before="360" w:after="80"/>
      <w:outlineLvl w:val="0"/>
    </w:pPr>
    <w:rPr>
      <w:rFonts w:ascii="Aptos Display" w:hAnsi="Aptos Display"/>
      <w:color w:val="0F4761"/>
      <w:sz w:val="40"/>
    </w:rPr>
  </w:style>
  <w:style w:type="paragraph" w:styleId="Heading2">
    <w:name w:val="heading 2"/>
    <w:basedOn w:val="Normal"/>
    <w:next w:val="Normal"/>
    <w:link w:val="Heading2Char"/>
    <w:uiPriority w:val="11"/>
    <w:qFormat/>
    <w:pPr>
      <w:keepNext/>
      <w:keepLines/>
      <w:spacing w:before="160" w:after="80"/>
      <w:outlineLvl w:val="1"/>
    </w:pPr>
    <w:rPr>
      <w:rFonts w:ascii="Aptos Display" w:hAnsi="Aptos Display"/>
      <w:color w:val="0F4761"/>
      <w:sz w:val="32"/>
    </w:rPr>
  </w:style>
  <w:style w:type="paragraph" w:styleId="Heading3">
    <w:name w:val="heading 3"/>
    <w:basedOn w:val="Normal"/>
    <w:next w:val="Normal"/>
    <w:link w:val="Heading3Char"/>
    <w:uiPriority w:val="12"/>
    <w:qFormat/>
    <w:pPr>
      <w:keepNext/>
      <w:keepLines/>
      <w:spacing w:before="160" w:after="80"/>
      <w:outlineLvl w:val="2"/>
    </w:pPr>
    <w:rPr>
      <w:rFonts w:ascii="Aptos" w:hAnsi="Aptos"/>
      <w:color w:val="0F4761"/>
      <w:sz w:val="28"/>
    </w:rPr>
  </w:style>
  <w:style w:type="paragraph" w:styleId="Heading4">
    <w:name w:val="heading 4"/>
    <w:basedOn w:val="Normal"/>
    <w:next w:val="Normal"/>
    <w:link w:val="Heading4Char"/>
    <w:uiPriority w:val="13"/>
    <w:pPr>
      <w:keepNext/>
      <w:keepLines/>
      <w:spacing w:before="80" w:after="40"/>
      <w:outlineLvl w:val="3"/>
    </w:pPr>
    <w:rPr>
      <w:rFonts w:ascii="Aptos" w:hAnsi="Aptos"/>
      <w:i/>
      <w:color w:val="0F4761"/>
      <w:sz w:val="24"/>
    </w:rPr>
  </w:style>
  <w:style w:type="paragraph" w:styleId="Heading5">
    <w:name w:val="heading 5"/>
    <w:basedOn w:val="Normal"/>
    <w:next w:val="Normal"/>
    <w:link w:val="Heading5Char"/>
    <w:uiPriority w:val="14"/>
    <w:pPr>
      <w:keepNext/>
      <w:keepLines/>
      <w:spacing w:before="80" w:after="40"/>
      <w:outlineLvl w:val="4"/>
    </w:pPr>
    <w:rPr>
      <w:rFonts w:ascii="Aptos" w:hAnsi="Aptos"/>
      <w:color w:val="0F4761"/>
      <w:sz w:val="24"/>
    </w:rPr>
  </w:style>
  <w:style w:type="paragraph" w:styleId="Heading6">
    <w:name w:val="heading 6"/>
    <w:basedOn w:val="Normal"/>
    <w:next w:val="Normal"/>
    <w:link w:val="Heading6Char"/>
    <w:uiPriority w:val="15"/>
    <w:pPr>
      <w:keepNext/>
      <w:keepLines/>
      <w:spacing w:before="40" w:after="0"/>
      <w:outlineLvl w:val="5"/>
    </w:pPr>
    <w:rPr>
      <w:rFonts w:ascii="Aptos" w:hAnsi="Aptos"/>
      <w:i/>
      <w:color w:val="595959"/>
      <w:sz w:val="24"/>
    </w:rPr>
  </w:style>
  <w:style w:type="paragraph" w:styleId="Heading7">
    <w:name w:val="heading 7"/>
    <w:basedOn w:val="Normal"/>
    <w:next w:val="Normal"/>
    <w:link w:val="Heading7Char"/>
    <w:uiPriority w:val="16"/>
    <w:pPr>
      <w:keepNext/>
      <w:keepLines/>
      <w:spacing w:before="40" w:after="0"/>
      <w:outlineLvl w:val="6"/>
    </w:pPr>
    <w:rPr>
      <w:rFonts w:ascii="Aptos" w:hAnsi="Aptos"/>
      <w:color w:val="595959"/>
      <w:sz w:val="24"/>
    </w:rPr>
  </w:style>
  <w:style w:type="paragraph" w:styleId="Heading8">
    <w:name w:val="heading 8"/>
    <w:basedOn w:val="Normal"/>
    <w:next w:val="Normal"/>
    <w:link w:val="Heading8Char"/>
    <w:uiPriority w:val="17"/>
    <w:pPr>
      <w:keepNext/>
      <w:keepLines/>
      <w:spacing w:before="0" w:after="0"/>
      <w:outlineLvl w:val="7"/>
    </w:pPr>
    <w:rPr>
      <w:rFonts w:ascii="Aptos" w:hAnsi="Aptos"/>
      <w:i/>
      <w:color w:val="272727"/>
      <w:sz w:val="24"/>
    </w:rPr>
  </w:style>
  <w:style w:type="paragraph" w:styleId="Heading9">
    <w:name w:val="heading 9"/>
    <w:basedOn w:val="Normal"/>
    <w:next w:val="Normal"/>
    <w:link w:val="Heading9Char"/>
    <w:uiPriority w:val="18"/>
    <w:pPr>
      <w:keepNext/>
      <w:keepLines/>
      <w:spacing w:before="0" w:after="0"/>
      <w:outlineLvl w:val="8"/>
    </w:pPr>
    <w:rPr>
      <w:rFonts w:ascii="Aptos" w:hAnsi="Aptos"/>
      <w:color w:val="272727"/>
      <w:sz w:val="24"/>
    </w:rPr>
  </w:style>
  <w:style w:type="paragraph" w:styleId="Title">
    <w:name w:val="Title"/>
    <w:basedOn w:val="Normal"/>
    <w:next w:val="Normal"/>
    <w:uiPriority w:val="10"/>
    <w:qFormat/>
    <w:pPr>
      <w:spacing w:after="80" w:line="240" w:lineRule="auto"/>
      <w:contextualSpacing/>
    </w:pPr>
    <w:rPr>
      <w:rFonts w:ascii="Aptos Display" w:hAnsi="Aptos Display"/>
      <w:spacing w:val="-10"/>
      <w:kern w:val="28"/>
      <w:sz w:val="56"/>
    </w:rPr>
  </w:style>
  <w:style w:type="paragraph" w:styleId="Subtitle">
    <w:name w:val="Subtitle"/>
    <w:basedOn w:val="Normal"/>
    <w:next w:val="Normal"/>
    <w:uiPriority w:val="11"/>
    <w:qFormat/>
    <w:rPr>
      <w:color w:val="595959"/>
      <w:spacing w:val="15"/>
      <w:sz w:val="28"/>
    </w:rPr>
  </w:style>
  <w:style w:type="character" w:styleId="SubtleEmphasis">
    <w:name w:val="Subtle Emphasis"/>
    <w:basedOn w:val="DefaultParagraphFont"/>
    <w:uiPriority w:val="19"/>
    <w:qFormat/>
    <w:rPr>
      <w:i/>
      <w:color w:val="404040"/>
    </w:rPr>
  </w:style>
  <w:style w:type="character" w:styleId="Emphasis">
    <w:name w:val="Emphasis"/>
    <w:basedOn w:val="DefaultParagraphFont"/>
    <w:uiPriority w:val="20"/>
    <w:qFormat/>
    <w:rPr>
      <w:i/>
    </w:rPr>
  </w:style>
  <w:style w:type="character" w:styleId="IntenseEmphasis">
    <w:name w:val="Intense Emphasis"/>
    <w:basedOn w:val="DefaultParagraphFont"/>
    <w:uiPriority w:val="21"/>
    <w:qFormat/>
    <w:rPr>
      <w:i/>
      <w:color w:val="0F4761"/>
    </w:rPr>
  </w:style>
  <w:style w:type="character" w:styleId="Strong">
    <w:name w:val="Strong"/>
    <w:basedOn w:val="DefaultParagraphFont"/>
    <w:uiPriority w:val="22"/>
    <w:qFormat/>
    <w:rPr>
      <w:b/>
    </w:rPr>
  </w:style>
  <w:style w:type="paragraph" w:styleId="Quote">
    <w:name w:val="Quote"/>
    <w:basedOn w:val="Normal"/>
    <w:next w:val="Normal"/>
    <w:uiPriority w:val="29"/>
    <w:qFormat/>
    <w:pPr>
      <w:spacing w:before="160"/>
      <w:jc w:val="center"/>
    </w:pPr>
    <w:rPr>
      <w:i/>
      <w:color w:val="404040"/>
    </w:rPr>
  </w:style>
  <w:style w:type="paragraph" w:styleId="IntenseQuote">
    <w:name w:val="Intense Quote"/>
    <w:basedOn w:val="Normal"/>
    <w:next w:val="Normal"/>
    <w:uiPriority w:val="30"/>
    <w:qFormat/>
    <w:pPr>
      <w:pBdr>
        <w:top w:val="single" w:sz="4" w:space="10" w:color="0F4761"/>
        <w:bottom w:val="single" w:sz="4" w:space="10" w:color="0F4761"/>
      </w:pBdr>
      <w:spacing w:before="360" w:after="360"/>
      <w:ind w:left="864" w:right="864"/>
      <w:jc w:val="center"/>
    </w:pPr>
    <w:rPr>
      <w:i/>
      <w:color w:val="0F4761"/>
    </w:rPr>
  </w:style>
  <w:style w:type="character" w:styleId="SubtleReference">
    <w:name w:val="Subtle Reference"/>
    <w:basedOn w:val="DefaultParagraphFont"/>
    <w:uiPriority w:val="31"/>
    <w:qFormat/>
    <w:rPr>
      <w:smallCaps/>
      <w:color w:val="5A5A5A"/>
    </w:rPr>
  </w:style>
  <w:style w:type="character" w:styleId="IntenseReference">
    <w:name w:val="Intense Reference"/>
    <w:basedOn w:val="DefaultParagraphFont"/>
    <w:uiPriority w:val="32"/>
    <w:qFormat/>
    <w:rPr>
      <w:b/>
      <w:smallCaps/>
      <w:color w:val="0F4761"/>
      <w:spacing w:val="5"/>
    </w:rPr>
  </w:style>
  <w:style w:type="character" w:styleId="BookTitle">
    <w:name w:val="Book Title"/>
    <w:basedOn w:val="DefaultParagraphFont"/>
    <w:uiPriority w:val="33"/>
    <w:qFormat/>
    <w:rPr>
      <w:b/>
      <w:i/>
      <w:spacing w:val="5"/>
    </w:r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rPr>
      <w:color w:val="467886"/>
      <w:u w:val="single"/>
    </w:rPr>
  </w:style>
  <w:style w:type="paragraph" w:styleId="Caption">
    <w:name w:val="caption"/>
    <w:basedOn w:val="Normal"/>
    <w:next w:val="Normal"/>
    <w:uiPriority w:val="35"/>
    <w:pPr>
      <w:spacing w:after="200" w:line="240" w:lineRule="auto"/>
    </w:pPr>
    <w:rPr>
      <w:i/>
      <w:color w:val="0E2841"/>
      <w:sz w:val="18"/>
    </w:rPr>
  </w:style>
  <w:style w:type="paragraph" w:styleId="Header">
    <w:name w:val="header"/>
    <w:basedOn w:val="Normal"/>
    <w:uiPriority w:val="99"/>
    <w:pPr>
      <w:tabs>
        <w:tab w:val="center" w:pos="4680"/>
        <w:tab w:val="right" w:pos="9360"/>
      </w:tabs>
      <w:spacing w:after="0" w:line="240" w:lineRule="auto"/>
    </w:pPr>
  </w:style>
  <w:style w:type="paragraph" w:styleId="Footer">
    <w:name w:val="footer"/>
    <w:basedOn w:val="Normal"/>
    <w:uiPriority w:val="99"/>
    <w:pPr>
      <w:tabs>
        <w:tab w:val="center" w:pos="4680"/>
        <w:tab w:val="right" w:pos="9360"/>
      </w:tabs>
      <w:spacing w:after="0" w:line="240" w:lineRule="auto"/>
    </w:pPr>
  </w:style>
  <w:style w:type="paragraph" w:styleId="FootnoteText">
    <w:name w:val="footnote text"/>
    <w:basedOn w:val="Normal"/>
    <w:uiPriority w:val="99"/>
    <w:pPr>
      <w:spacing w:after="0" w:line="240" w:lineRule="auto"/>
    </w:pPr>
    <w:rPr>
      <w:sz w:val="20"/>
    </w:rPr>
  </w:style>
  <w:style w:type="character" w:styleId="FootnoteReference">
    <w:name w:val="footnote reference"/>
    <w:basedOn w:val="DefaultParagraphFont"/>
    <w:uiPriority w:val="99"/>
    <w:rPr>
      <w:vertAlign w:val="superscript"/>
    </w:rPr>
  </w:style>
  <w:style w:type="paragraph" w:styleId="EndnoteText">
    <w:name w:val="endnote text"/>
    <w:basedOn w:val="Normal"/>
    <w:uiPriority w:val="99"/>
    <w:pPr>
      <w:spacing w:after="0" w:line="240" w:lineRule="auto"/>
    </w:pPr>
    <w:rPr>
      <w:sz w:val="20"/>
    </w:rPr>
  </w:style>
  <w:style w:type="character" w:styleId="EndnoteReference">
    <w:name w:val="endnote reference"/>
    <w:basedOn w:val="DefaultParagraphFont"/>
    <w:uiPriority w:val="99"/>
    <w:rPr>
      <w:vertAlign w:val="superscript"/>
    </w:rPr>
  </w:style>
  <w:style w:type="paragraph" w:styleId="TOCHeading">
    <w:name w:val="TOC Heading"/>
    <w:basedOn w:val="Heading1"/>
    <w:next w:val="Normal"/>
    <w:uiPriority w:val="39"/>
    <w:pPr>
      <w:spacing w:before="240"/>
      <w:outlineLvl w:val="9"/>
    </w:pPr>
  </w:style>
  <w:style w:type="paragraph" w:styleId="TOC1">
    <w:name w:val="toc 1"/>
    <w:basedOn w:val="Normal"/>
    <w:next w:val="Normal"/>
    <w:uiPriority w:val="39"/>
    <w:pPr>
      <w:spacing w:after="100"/>
      <w:ind w:left="0"/>
    </w:pPr>
  </w:style>
  <w:style w:type="paragraph" w:styleId="TOC2">
    <w:name w:val="toc 2"/>
    <w:basedOn w:val="Normal"/>
    <w:next w:val="Normal"/>
    <w:uiPriority w:val="39"/>
    <w:pPr>
      <w:spacing w:after="100"/>
      <w:ind w:left="240"/>
    </w:pPr>
  </w:style>
  <w:style w:type="paragraph" w:styleId="TOC3">
    <w:name w:val="toc 3"/>
    <w:basedOn w:val="Normal"/>
    <w:next w:val="Normal"/>
    <w:uiPriority w:val="39"/>
    <w:pPr>
      <w:spacing w:after="100"/>
      <w:ind w:left="480"/>
    </w:pPr>
  </w:style>
  <w:style w:type="paragraph" w:styleId="TOC4">
    <w:name w:val="toc 4"/>
    <w:basedOn w:val="Normal"/>
    <w:next w:val="Normal"/>
    <w:uiPriority w:val="39"/>
    <w:pPr>
      <w:spacing w:after="100"/>
      <w:ind w:left="720"/>
    </w:pPr>
  </w:style>
  <w:style w:type="paragraph" w:styleId="TOC5">
    <w:name w:val="toc 5"/>
    <w:basedOn w:val="Normal"/>
    <w:next w:val="Normal"/>
    <w:uiPriority w:val="39"/>
    <w:pPr>
      <w:spacing w:after="100"/>
      <w:ind w:left="960"/>
    </w:pPr>
  </w:style>
  <w:style w:type="paragraph" w:styleId="TOC6">
    <w:name w:val="toc 6"/>
    <w:basedOn w:val="Normal"/>
    <w:next w:val="Normal"/>
    <w:uiPriority w:val="39"/>
    <w:pPr>
      <w:spacing w:after="100"/>
      <w:ind w:left="1200"/>
    </w:pPr>
  </w:style>
  <w:style w:type="paragraph" w:styleId="TOC7">
    <w:name w:val="toc 7"/>
    <w:basedOn w:val="Normal"/>
    <w:next w:val="Normal"/>
    <w:uiPriority w:val="39"/>
    <w:pPr>
      <w:spacing w:after="100"/>
      <w:ind w:left="1440"/>
    </w:pPr>
  </w:style>
  <w:style w:type="paragraph" w:styleId="TOC8">
    <w:name w:val="toc 8"/>
    <w:basedOn w:val="Normal"/>
    <w:next w:val="Normal"/>
    <w:uiPriority w:val="39"/>
    <w:pPr>
      <w:spacing w:after="100"/>
      <w:ind w:left="1680"/>
    </w:pPr>
  </w:style>
  <w:style w:type="paragraph" w:styleId="TOC9">
    <w:name w:val="toc 9"/>
    <w:basedOn w:val="Normal"/>
    <w:next w:val="Normal"/>
    <w:uiPriority w:val="39"/>
    <w:pPr>
      <w:spacing w:after="100"/>
      <w:ind w:left="1920"/>
    </w:pPr>
  </w:style>
  <w:style w:type="table" w:styleId="TableGrid">
    <w:name w:val="Table 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Normal" w:default="1">
    <w:name w:val="Normal Table"/>
    <w:semiHidden/>
    <w:unhideWhenUsed/>
  </w:style>
  <w:style w:type="table" w:styleId="PlainTable1">
    <w:name w:val="Plain Table 1"/>
    <w:basedOn w:val="TableNormal"/>
    <w:uiPriority w:val="60"/>
    <w:pPr>
      <w:spacing w:after="0" w:line="240" w:lineRule="auto"/>
    </w:p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band1Horz">
      <w:tcPr>
        <w:shd w:val="clear" w:color="auto" w:fill="F2F2F2"/>
      </w:tcPr>
    </w:tblStylePr>
    <w:tblStylePr w:type="firstCol">
      <w:rPr>
        <w:b/>
      </w:rPr>
    </w:tblStylePr>
    <w:tblStylePr w:type="firstRow">
      <w:rPr>
        <w:b/>
      </w:rPr>
    </w:tblStylePr>
  </w:style>
  <w:style w:type="table" w:styleId="GridTable1Light">
    <w:name w:val="Grid Table 1 Light"/>
    <w:basedOn w:val="TableNormal"/>
    <w:uiPriority w:val="60"/>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Col">
      <w:rPr>
        <w:b/>
      </w:rPr>
    </w:tblStylePr>
    <w:tblStylePr w:type="firstRow">
      <w:rPr>
        <w:b/>
      </w:rPr>
    </w:tblStylePr>
  </w:style>
  <w:style w:type="table" w:styleId="GridTable4AccentBlue">
    <w:name w:val="Grid Table 4 – Blue"/>
    <w:basedOn w:val="TableNormal"/>
    <w:uiPriority w:val="60"/>
    <w:pPr>
      <w:spacing w:after="0" w:line="240" w:lineRule="auto"/>
    </w:pPr>
    <w:tblPr>
      <w:tblStyleRowBandSize w:val="1"/>
      <w:tblStyleColBandSize w:val="1"/>
      <w:tblBorders>
        <w:top w:val="single" w:sz="4" w:space="0" w:color="C1E4F5"/>
        <w:left w:val="single" w:sz="4" w:space="0" w:color="C1E4F5"/>
        <w:bottom w:val="single" w:sz="4" w:space="0" w:color="C1E4F5"/>
        <w:right w:val="single" w:sz="4" w:space="0" w:color="C1E4F5"/>
        <w:insideH w:val="single" w:sz="4" w:space="0" w:color="C1E4F5"/>
        <w:insideV w:val="single" w:sz="4" w:space="0" w:color="C1E4F5"/>
      </w:tblBorders>
    </w:tblPr>
    <w:tblStylePr w:type="band1Horz">
      <w:tcPr>
        <w:shd w:val="clear" w:color="auto" w:fill="C1E4F5"/>
      </w:tcPr>
    </w:tblStylePr>
    <w:tblStylePr w:type="firstCol">
      <w:rPr>
        <w:b/>
      </w:rPr>
    </w:tblStylePr>
    <w:tblStylePr w:type="firstRow">
      <w:rPr>
        <w:b/>
        <w:color w:val="FFFFFF"/>
      </w:rPr>
      <w:tcPr>
        <w:shd w:val="clear" w:color="auto" w:fill="156082"/>
      </w:tcPr>
    </w:tblStylePr>
  </w:style>
  <w:style w:type="table" w:styleId="ListTable3AccentBlue">
    <w:name w:val="List Table 3 – Blue"/>
    <w:basedOn w:val="TableNormal"/>
    <w:uiPriority w:val="60"/>
    <w:pPr>
      <w:spacing w:after="0" w:line="240" w:lineRule="auto"/>
    </w:pPr>
    <w:tblPr>
      <w:tblStyleRowBandSize w:val="1"/>
      <w:tblStyleColBandSize w:val="1"/>
      <w:tblBorders>
        <w:top w:val="single" w:sz="4" w:space="0" w:color="156082"/>
        <w:left w:val="single" w:sz="4" w:space="0" w:color="156082"/>
        <w:bottom w:val="single" w:sz="4" w:space="0" w:color="156082"/>
        <w:right w:val="single" w:sz="4" w:space="0" w:color="156082"/>
      </w:tblBorders>
    </w:tblPr>
    <w:tblStylePr w:type="firstRow">
      <w:rPr>
        <w:b/>
        <w:color w:val="FFFFFF"/>
      </w:rPr>
      <w:tcPr>
        <w:shd w:val="clear" w:color="auto" w:fill="156082"/>
      </w:tcPr>
    </w:tblStylePr>
    <w:tblStylePr w:type="lastRow">
      <w:tcPr>
        <w:tcBorders>
          <w:top w:val="single" w:sz="4" w:space="0" w:color="156082"/>
        </w:tcBorders>
      </w:tcPr>
    </w:tblStylePr>
  </w:style>
  <w:style w:type="table" w:styleId="GridTable4AccentOrange">
    <w:name w:val="Grid Table 4 – Orange"/>
    <w:basedOn w:val="TableNormal"/>
    <w:uiPriority w:val="60"/>
    <w:pPr>
      <w:spacing w:after="0" w:line="240" w:lineRule="auto"/>
    </w:pPr>
    <w:tblPr>
      <w:tblStyleRowBandSize w:val="1"/>
      <w:tblStyleColBandSize w:val="1"/>
      <w:tblBorders>
        <w:top w:val="single" w:sz="4" w:space="0" w:color="FBE2D5"/>
        <w:left w:val="single" w:sz="4" w:space="0" w:color="FBE2D5"/>
        <w:bottom w:val="single" w:sz="4" w:space="0" w:color="FBE2D5"/>
        <w:right w:val="single" w:sz="4" w:space="0" w:color="FBE2D5"/>
        <w:insideH w:val="single" w:sz="4" w:space="0" w:color="FBE2D5"/>
        <w:insideV w:val="single" w:sz="4" w:space="0" w:color="FBE2D5"/>
      </w:tblBorders>
    </w:tblPr>
    <w:tblStylePr w:type="band1Horz">
      <w:tcPr>
        <w:shd w:val="clear" w:color="auto" w:fill="FBE2D5"/>
      </w:tcPr>
    </w:tblStylePr>
    <w:tblStylePr w:type="firstCol">
      <w:rPr>
        <w:b/>
      </w:rPr>
    </w:tblStylePr>
    <w:tblStylePr w:type="firstRow">
      <w:rPr>
        <w:b/>
        <w:color w:val="FFFFFF"/>
      </w:rPr>
      <w:tcPr>
        <w:shd w:val="clear" w:color="auto" w:fill="E97132"/>
      </w:tcPr>
    </w:tblStylePr>
  </w:style>
  <w:style w:type="table" w:styleId="ListTable3AccentOrange">
    <w:name w:val="List Table 3 – Orange"/>
    <w:basedOn w:val="TableNormal"/>
    <w:uiPriority w:val="60"/>
    <w:pPr>
      <w:spacing w:after="0" w:line="240" w:lineRule="auto"/>
    </w:pPr>
    <w:tblPr>
      <w:tblStyleRowBandSize w:val="1"/>
      <w:tblStyleColBandSize w:val="1"/>
      <w:tblBorders>
        <w:top w:val="single" w:sz="4" w:space="0" w:color="E97132"/>
        <w:left w:val="single" w:sz="4" w:space="0" w:color="E97132"/>
        <w:bottom w:val="single" w:sz="4" w:space="0" w:color="E97132"/>
        <w:right w:val="single" w:sz="4" w:space="0" w:color="E97132"/>
      </w:tblBorders>
    </w:tblPr>
    <w:tblStylePr w:type="firstRow">
      <w:rPr>
        <w:b/>
        <w:color w:val="FFFFFF"/>
      </w:rPr>
      <w:tcPr>
        <w:shd w:val="clear" w:color="auto" w:fill="E97132"/>
      </w:tcPr>
    </w:tblStylePr>
    <w:tblStylePr w:type="lastRow">
      <w:tcPr>
        <w:tcBorders>
          <w:top w:val="single" w:sz="4" w:space="0" w:color="E97132"/>
        </w:tcBorders>
      </w:tcPr>
    </w:tblStylePr>
  </w:style>
  <w:style w:type="table" w:styleId="GridTable4AccentGreen">
    <w:name w:val="Grid Table 4 – Green"/>
    <w:basedOn w:val="TableNormal"/>
    <w:uiPriority w:val="60"/>
    <w:pPr>
      <w:spacing w:after="0" w:line="240" w:lineRule="auto"/>
    </w:pPr>
    <w:tblPr>
      <w:tblStyleRowBandSize w:val="1"/>
      <w:tblStyleColBandSize w:val="1"/>
      <w:tblBorders>
        <w:top w:val="single" w:sz="4" w:space="0" w:color="C1F0C8"/>
        <w:left w:val="single" w:sz="4" w:space="0" w:color="C1F0C8"/>
        <w:bottom w:val="single" w:sz="4" w:space="0" w:color="C1F0C8"/>
        <w:right w:val="single" w:sz="4" w:space="0" w:color="C1F0C8"/>
        <w:insideH w:val="single" w:sz="4" w:space="0" w:color="C1F0C8"/>
        <w:insideV w:val="single" w:sz="4" w:space="0" w:color="C1F0C8"/>
      </w:tblBorders>
    </w:tblPr>
    <w:tblStylePr w:type="band1Horz">
      <w:tcPr>
        <w:shd w:val="clear" w:color="auto" w:fill="C1F0C8"/>
      </w:tcPr>
    </w:tblStylePr>
    <w:tblStylePr w:type="firstCol">
      <w:rPr>
        <w:b/>
      </w:rPr>
    </w:tblStylePr>
    <w:tblStylePr w:type="firstRow">
      <w:rPr>
        <w:b/>
        <w:color w:val="FFFFFF"/>
      </w:rPr>
      <w:tcPr>
        <w:shd w:val="clear" w:color="auto" w:fill="196B24"/>
      </w:tcPr>
    </w:tblStylePr>
  </w:style>
  <w:style w:type="table" w:styleId="ListTable3AccentGreen">
    <w:name w:val="List Table 3 – Green"/>
    <w:basedOn w:val="TableNormal"/>
    <w:uiPriority w:val="60"/>
    <w:pPr>
      <w:spacing w:after="0" w:line="240" w:lineRule="auto"/>
    </w:pPr>
    <w:tblPr>
      <w:tblStyleRowBandSize w:val="1"/>
      <w:tblStyleColBandSize w:val="1"/>
      <w:tblBorders>
        <w:top w:val="single" w:sz="4" w:space="0" w:color="196B24"/>
        <w:left w:val="single" w:sz="4" w:space="0" w:color="196B24"/>
        <w:bottom w:val="single" w:sz="4" w:space="0" w:color="196B24"/>
        <w:right w:val="single" w:sz="4" w:space="0" w:color="196B24"/>
      </w:tblBorders>
    </w:tblPr>
    <w:tblStylePr w:type="firstRow">
      <w:rPr>
        <w:b/>
        <w:color w:val="FFFFFF"/>
      </w:rPr>
      <w:tcPr>
        <w:shd w:val="clear" w:color="auto" w:fill="196B24"/>
      </w:tcPr>
    </w:tblStylePr>
    <w:tblStylePr w:type="lastRow">
      <w:tcPr>
        <w:tcBorders>
          <w:top w:val="single" w:sz="4" w:space="0" w:color="196B24"/>
        </w:tcBorders>
      </w:tcPr>
    </w:tblStylePr>
  </w:style>
  <w:style w:type="table" w:styleId="GridTable4AccentPurple">
    <w:name w:val="Grid Table 4 – Purple"/>
    <w:basedOn w:val="TableNormal"/>
    <w:uiPriority w:val="60"/>
    <w:pPr>
      <w:spacing w:after="0" w:line="240" w:lineRule="auto"/>
    </w:pPr>
    <w:tblPr>
      <w:tblStyleRowBandSize w:val="1"/>
      <w:tblStyleColBandSize w:val="1"/>
      <w:tblBorders>
        <w:top w:val="single" w:sz="4" w:space="0" w:color="E5D2EE"/>
        <w:left w:val="single" w:sz="4" w:space="0" w:color="E5D2EE"/>
        <w:bottom w:val="single" w:sz="4" w:space="0" w:color="E5D2EE"/>
        <w:right w:val="single" w:sz="4" w:space="0" w:color="E5D2EE"/>
        <w:insideH w:val="single" w:sz="4" w:space="0" w:color="E5D2EE"/>
        <w:insideV w:val="single" w:sz="4" w:space="0" w:color="E5D2EE"/>
      </w:tblBorders>
    </w:tblPr>
    <w:tblStylePr w:type="band1Horz">
      <w:tcPr>
        <w:shd w:val="clear" w:color="auto" w:fill="E5D2EE"/>
      </w:tcPr>
    </w:tblStylePr>
    <w:tblStylePr w:type="firstCol">
      <w:rPr>
        <w:b/>
      </w:rPr>
    </w:tblStylePr>
    <w:tblStylePr w:type="firstRow">
      <w:rPr>
        <w:b/>
        <w:color w:val="FFFFFF"/>
      </w:rPr>
      <w:tcPr>
        <w:shd w:val="clear" w:color="auto" w:fill="712E8D"/>
      </w:tcPr>
    </w:tblStylePr>
  </w:style>
  <w:style w:type="table" w:styleId="ListTable3AccentPurple">
    <w:name w:val="List Table 3 – Purple"/>
    <w:basedOn w:val="TableNormal"/>
    <w:uiPriority w:val="60"/>
    <w:pPr>
      <w:spacing w:after="0" w:line="240" w:lineRule="auto"/>
    </w:pPr>
    <w:tblPr>
      <w:tblStyleRowBandSize w:val="1"/>
      <w:tblStyleColBandSize w:val="1"/>
      <w:tblBorders>
        <w:top w:val="single" w:sz="4" w:space="0" w:color="712E8D"/>
        <w:left w:val="single" w:sz="4" w:space="0" w:color="712E8D"/>
        <w:bottom w:val="single" w:sz="4" w:space="0" w:color="712E8D"/>
        <w:right w:val="single" w:sz="4" w:space="0" w:color="712E8D"/>
      </w:tblBorders>
    </w:tblPr>
    <w:tblStylePr w:type="firstRow">
      <w:rPr>
        <w:b/>
        <w:color w:val="FFFFFF"/>
      </w:rPr>
      <w:tcPr>
        <w:shd w:val="clear" w:color="auto" w:fill="712E8D"/>
      </w:tcPr>
    </w:tblStylePr>
    <w:tblStylePr w:type="lastRow">
      <w:tcPr>
        <w:tcBorders>
          <w:top w:val="single" w:sz="4" w:space="0" w:color="712E8D"/>
        </w:tcBorders>
      </w:tcPr>
    </w:tblStylePr>
  </w:style>
</w:styles>
</file>

<file path=word/_rels/document.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hyperlink" Target="https://example.org/maple-hollow/water-schedule" TargetMode="External"/><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styles" Target="styles.xml"/><Relationship Id="rId6" Type="http://schemas.openxmlformats.org/officeDocument/2006/relationships/numbering" Target="numbering.xml"/><Relationship Id="rId7" Type="http://schemas.openxmlformats.org/officeDocument/2006/relationships/settings" Target="settings.xml"/><Relationship Id="rId8" Type="http://schemas.openxmlformats.org/officeDocument/2006/relationships/theme" Target="theme/theme1.xml"/></Relationships>
</file>

<file path=word/theme/theme1.xml><?xml version="1.0" encoding="utf-8"?>
<a:theme xmlns:a="http://schemas.openxmlformats.org/drawingml/2006/main" name="Craft">
  <a:themeElements>
    <a:clrScheme name="Craft">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aft">
      <a:majorFont>
        <a:latin typeface="Aptos Display"/>
        <a:ea typeface=""/>
        <a:cs typeface=""/>
      </a:majorFont>
      <a:minorFont>
        <a:latin typeface="Aptos"/>
        <a:ea typeface=""/>
        <a:cs typeface=""/>
      </a:minorFont>
    </a:fontScheme>
    <a:fmtScheme name="Craft">
      <a:fillStyleLst>
        <a:solidFill>
          <a:schemeClr val="phClr"/>
        </a:solidFill>
        <a:solidFill>
          <a:schemeClr val="phClr"/>
        </a:solidFill>
        <a:solidFill>
          <a:schemeClr val="phClr"/>
        </a:soli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PDF Conversion API</Application>
  <Words>361</Words>
  <Paragraphs>45</Paragraphs>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Plot holder guide 2027</dc:title>
  <dc:subject>Maple Hollow Community Garden</dc:subject>
  <dc:creator>Garden committee</dc:creator>
  <cp:keywords>garden</cp:keywords>
  <cp:revision>1</cp:revision>
  <dcterms:created xsi:type="dcterms:W3CDTF">2026-11-04T14:58:00Z</dcterms:created>
  <dcterms:modified xsi:type="dcterms:W3CDTF">2026-11-04T14:58:00Z</dcterms:modified>
</cp:coreProperties>
</file>