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w10="urn:schemas-microsoft-com:office:word">
  <w:body>
    <w:p>
      <w:r>
        <w:drawing>
          <wp:inline>
            <wp:extent cx="2286000" cy="609600"/>
            <wp:docPr id="1" name="Picture 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Img1"/>
                    <a:stretch>
                      <a:fillRect/>
                    </a:stretch>
                  </pic:blipFill>
                  <pic:spPr>
                    <a:xfrm>
                      <a:off x="0" y="0"/>
                      <a:ext cx="2286000" cy="609600"/>
                    </a:xfrm>
                    <a:prstGeom prst="rect">
                      <a:avLst/>
                    </a:prstGeom>
                  </pic:spPr>
                </pic:pic>
              </a:graphicData>
            </a:graphic>
          </wp:inline>
        </w:drawing>
      </w:r>
    </w:p>
    <w:p>
      <w:pPr>
        <w:pStyle w:val="Heading1"/>
      </w:pPr>
      <w:r>
        <w:rPr>
          <w:b/>
          <w:color w:val="1F4E5F"/>
          <w:sz w:val="40"/>
        </w:rPr>
        <w:t xml:space="preserve">Statement of Work: Patient Scheduling App</w:t>
      </w:r>
    </w:p>
    <w:p>
      <w:r>
        <w:rPr>
          <w:b/>
          <w:sz w:val="22"/>
        </w:rPr>
        <w:t xml:space="preserve">Client: </w:t>
      </w:r>
      <w:r>
        <w:rPr>
          <w:sz w:val="22"/>
        </w:rPr>
        <w:t xml:space="preserve">Cedar Point Dental Group, 410 Lakeview Avenue, Sandusky, OH 44870</w:t>
      </w:r>
    </w:p>
    <w:p>
      <w:r>
        <w:rPr>
          <w:b/>
          <w:sz w:val="22"/>
        </w:rPr>
        <w:t xml:space="preserve">Vendor: </w:t>
      </w:r>
      <w:r>
        <w:rPr>
          <w:sz w:val="22"/>
        </w:rPr>
        <w:t xml:space="preserve">Harbor Lane Software Co., 88 Water Street, Toledo, OH 43604</w:t>
      </w:r>
    </w:p>
    <w:p>
      <w:r>
        <w:rPr>
          <w:b/>
          <w:sz w:val="22"/>
        </w:rPr>
        <w:t xml:space="preserve">SOW number: </w:t>
      </w:r>
      <w:r>
        <w:rPr>
          <w:sz w:val="22"/>
        </w:rPr>
        <w:t xml:space="preserve">HL-2026-014 </w:t>
      </w:r>
      <w:r>
        <w:rPr>
          <w:b/>
          <w:sz w:val="22"/>
        </w:rPr>
        <w:t xml:space="preserve">Date: </w:t>
      </w:r>
      <w:r>
        <w:rPr>
          <w:sz w:val="22"/>
        </w:rPr>
        <w:t xml:space="preserve">October 6, 2026</w:t>
      </w:r>
    </w:p>
    <w:p>
      <w:r>
        <w:rPr>
          <w:i/>
          <w:sz w:val="22"/>
        </w:rPr>
        <w:t xml:space="preserve">Harbor Lane Software Co. and Cedar Point Dental Group are fictional. This sample document was written for pdfconversionapi.com and is released under CC0 1.0.</w:t>
      </w:r>
    </w:p>
    <w:p>
      <w:pPr>
        <w:pStyle w:val="Heading2"/>
      </w:pPr>
      <w:r>
        <w:rPr>
          <w:b/>
          <w:color w:val="1F4E5F"/>
          <w:sz w:val="26"/>
        </w:rPr>
        <w:t xml:space="preserve">1. Purpose</w:t>
      </w:r>
    </w:p>
    <w:p>
      <w:r>
        <w:rPr>
          <w:sz w:val="22"/>
        </w:rPr>
        <w:t xml:space="preserve">This statement of work covers the design and build of a web app that lets patients book, move and cancel cleaning and checkup appointments at the client's three offices. It is issued under the Master Services Agreement signed on September 15, 2026, and that agreement controls if the two documents disagree.</w:t>
      </w:r>
    </w:p>
    <w:p>
      <w:pPr>
        <w:pStyle w:val="Heading2"/>
      </w:pPr>
      <w:r>
        <w:rPr>
          <w:b/>
          <w:color w:val="1F4E5F"/>
          <w:sz w:val="26"/>
        </w:rPr>
        <w:t xml:space="preserve">2. Scope</w:t>
      </w:r>
    </w:p>
    <w:p>
      <w:r>
        <w:rPr>
          <w:sz w:val="22"/>
        </w:rPr>
        <w:t xml:space="preserve">Harbor Lane will deliver the following:</w:t>
      </w:r>
    </w:p>
    <w:p>
      <w:r>
        <w:rPr>
          <w:sz w:val="22"/>
        </w:rPr>
        <w:t xml:space="preserve">1. A booking page that shows open chairs for the next 60 days, by office and by hygienist.</w:t>
      </w:r>
    </w:p>
    <w:p>
      <w:r>
        <w:rPr>
          <w:sz w:val="22"/>
        </w:rPr>
        <w:t xml:space="preserve">2. Text and email reminders sent 48 hours and 2 hours before each visit.</w:t>
      </w:r>
    </w:p>
    <w:p>
      <w:r>
        <w:rPr>
          <w:sz w:val="22"/>
        </w:rPr>
        <w:t xml:space="preserve">3. A front-desk view for staff to block time, add walk-ins and print the day sheet.</w:t>
      </w:r>
    </w:p>
    <w:p>
      <w:r>
        <w:rPr>
          <w:sz w:val="22"/>
        </w:rPr>
        <w:t xml:space="preserve">4. A nightly export of the schedule to the client's practice management system.</w:t>
      </w:r>
    </w:p>
    <w:p>
      <w:r>
        <w:rPr>
          <w:sz w:val="22"/>
        </w:rPr>
        <w:t xml:space="preserve">Out of scope: billing, insurance verification, and changes to the practice management system itself.</w:t>
      </w:r>
    </w:p>
    <w:p>
      <w:pPr>
        <w:pStyle w:val="Heading2"/>
      </w:pPr>
      <w:r>
        <w:rPr>
          <w:b/>
          <w:color w:val="1F4E5F"/>
          <w:sz w:val="26"/>
        </w:rPr>
        <w:t xml:space="preserve">3. Fees</w:t>
      </w:r>
    </w:p>
    <w:tbl>
      <w:tblPr>
        <w:tblW w:w="0" w:type="auto"/>
        <w:tblBorders>
          <w:top w:val="nil"/>
          <w:left w:val="nil"/>
          <w:bottom w:val="nil"/>
          <w:right w:val="nil"/>
          <w:insideH w:val="nil"/>
          <w:insideV w:val="nil"/>
        </w:tblBorders>
      </w:tblPr>
      <w:tblGrid>
        <w:gridCol w:w="5376"/>
        <w:gridCol w:w="2907"/>
        <w:gridCol w:w="400"/>
        <w:gridCol w:w="850"/>
      </w:tblGrid>
      <w:tr>
        <w:tc>
          <w:tcPr>
            <w:tcW w:w="5376" w:type="dxa"/>
          </w:tcPr>
          <w:p>
            <w:r>
              <w:rPr>
                <w:b/>
                <w:sz w:val="22"/>
              </w:rPr>
              <w:t xml:space="preserve">Milestone</w:t>
            </w:r>
          </w:p>
        </w:tc>
        <w:tc>
          <w:tcPr>
            <w:tcW w:w="2907" w:type="dxa"/>
          </w:tcPr>
          <w:p>
            <w:r>
              <w:rPr>
                <w:b/>
                <w:sz w:val="22"/>
              </w:rPr>
              <w:t xml:space="preserve">Due</w:t>
            </w:r>
          </w:p>
        </w:tc>
        <w:tc>
          <w:tcPr>
            <w:tcW w:w="400" w:type="dxa"/>
          </w:tcPr>
          <w:p>
            <w:r>
              <w:rPr>
                <w:sz w:val="22"/>
              </w:rPr>
              <w:t xml:space="preserve"/>
            </w:r>
          </w:p>
        </w:tc>
        <w:tc>
          <w:tcPr>
            <w:tcW w:w="850" w:type="dxa"/>
          </w:tcPr>
          <w:p>
            <w:r>
              <w:rPr>
                <w:sz w:val="22"/>
              </w:rPr>
              <w:t xml:space="preserve"/>
            </w:r>
          </w:p>
        </w:tc>
      </w:tr>
      <w:tr>
        <w:tc>
          <w:tcPr>
            <w:tcW w:w="5376" w:type="dxa"/>
          </w:tcPr>
          <w:p>
            <w:r>
              <w:rPr>
                <w:sz w:val="22"/>
              </w:rPr>
              <w:t xml:space="preserve">Design sign-off</w:t>
            </w:r>
          </w:p>
        </w:tc>
        <w:tc>
          <w:tcPr>
            <w:tcW w:w="2907" w:type="dxa"/>
          </w:tcPr>
          <w:p>
            <w:r>
              <w:rPr>
                <w:sz w:val="22"/>
              </w:rPr>
              <w:t xml:space="preserve">November 13, 2026</w:t>
            </w:r>
          </w:p>
        </w:tc>
        <w:tc>
          <w:tcPr>
            <w:tcW w:w="400" w:type="dxa"/>
          </w:tcPr>
          <w:p>
            <w:r>
              <w:rPr>
                <w:sz w:val="22"/>
              </w:rPr>
              <w:t xml:space="preserve"/>
            </w:r>
          </w:p>
        </w:tc>
        <w:tc>
          <w:tcPr>
            <w:tcW w:w="850" w:type="dxa"/>
          </w:tcPr>
          <w:p>
            <w:r>
              <w:rPr>
                <w:sz w:val="22"/>
              </w:rPr>
              <w:t xml:space="preserve">9,600.00</w:t>
            </w:r>
          </w:p>
        </w:tc>
      </w:tr>
      <w:tr>
        <w:tc>
          <w:tcPr>
            <w:tcW w:w="5376" w:type="dxa"/>
          </w:tcPr>
          <w:p>
            <w:r>
              <w:rPr>
                <w:sz w:val="22"/>
              </w:rPr>
              <w:t xml:space="preserve">Booking page and reminders live in one office</w:t>
            </w:r>
          </w:p>
        </w:tc>
        <w:tc>
          <w:tcPr>
            <w:tcW w:w="2907" w:type="dxa"/>
          </w:tcPr>
          <w:p>
            <w:r>
              <w:rPr>
                <w:sz w:val="22"/>
              </w:rPr>
              <w:t xml:space="preserve">January 22, 2027</w:t>
            </w:r>
          </w:p>
        </w:tc>
        <w:tc>
          <w:tcPr>
            <w:tcW w:w="1250" w:type="dxa"/>
            <w:gridSpan w:val="2"/>
          </w:tcPr>
          <w:p>
            <w:r>
              <w:rPr>
                <w:sz w:val="22"/>
              </w:rPr>
              <w:t xml:space="preserve">24,000.00</w:t>
            </w:r>
          </w:p>
        </w:tc>
      </w:tr>
      <w:tr>
        <w:tc>
          <w:tcPr>
            <w:tcW w:w="5376" w:type="dxa"/>
          </w:tcPr>
          <w:p>
            <w:r>
              <w:rPr>
                <w:sz w:val="22"/>
              </w:rPr>
              <w:t xml:space="preserve">Front-desk view and nightly export</w:t>
            </w:r>
          </w:p>
        </w:tc>
        <w:tc>
          <w:tcPr>
            <w:tcW w:w="2907" w:type="dxa"/>
          </w:tcPr>
          <w:p>
            <w:r>
              <w:rPr>
                <w:sz w:val="22"/>
              </w:rPr>
              <w:t xml:space="preserve">March 5, 2027</w:t>
            </w:r>
          </w:p>
        </w:tc>
        <w:tc>
          <w:tcPr>
            <w:tcW w:w="1250" w:type="dxa"/>
            <w:gridSpan w:val="2"/>
          </w:tcPr>
          <w:p>
            <w:r>
              <w:rPr>
                <w:sz w:val="22"/>
              </w:rPr>
              <w:t xml:space="preserve">16,800.00</w:t>
            </w:r>
          </w:p>
        </w:tc>
      </w:tr>
      <w:tr>
        <w:tc>
          <w:tcPr>
            <w:tcW w:w="5376" w:type="dxa"/>
          </w:tcPr>
          <w:p>
            <w:r>
              <w:rPr>
                <w:sz w:val="22"/>
              </w:rPr>
              <w:t xml:space="preserve">All three offices live, 30-day support ends</w:t>
            </w:r>
          </w:p>
        </w:tc>
        <w:tc>
          <w:tcPr>
            <w:tcW w:w="2907" w:type="dxa"/>
          </w:tcPr>
          <w:p>
            <w:r>
              <w:rPr>
                <w:sz w:val="22"/>
              </w:rPr>
              <w:t xml:space="preserve">April 30, 2027</w:t>
            </w:r>
          </w:p>
        </w:tc>
        <w:tc>
          <w:tcPr>
            <w:tcW w:w="400" w:type="dxa"/>
          </w:tcPr>
          <w:p>
            <w:r>
              <w:rPr>
                <w:sz w:val="22"/>
              </w:rPr>
              <w:t xml:space="preserve"/>
            </w:r>
          </w:p>
        </w:tc>
        <w:tc>
          <w:tcPr>
            <w:tcW w:w="850" w:type="dxa"/>
          </w:tcPr>
          <w:p>
            <w:r>
              <w:rPr>
                <w:sz w:val="22"/>
              </w:rPr>
              <w:t xml:space="preserve">7,200.00</w:t>
            </w:r>
          </w:p>
        </w:tc>
      </w:tr>
      <w:tr>
        <w:tc>
          <w:tcPr>
            <w:tcW w:w="5376" w:type="dxa"/>
          </w:tcPr>
          <w:p>
            <w:r>
              <w:rPr>
                <w:b/>
                <w:sz w:val="22"/>
              </w:rPr>
              <w:t xml:space="preserve">Total</w:t>
            </w:r>
          </w:p>
        </w:tc>
        <w:tc>
          <w:tcPr>
            <w:tcW w:w="2907" w:type="dxa"/>
          </w:tcPr>
          <w:p>
            <w:r>
              <w:rPr>
                <w:sz w:val="22"/>
              </w:rPr>
              <w:t xml:space="preserve"/>
            </w:r>
          </w:p>
        </w:tc>
        <w:tc>
          <w:tcPr>
            <w:tcW w:w="1250" w:type="dxa"/>
            <w:gridSpan w:val="2"/>
          </w:tcPr>
          <w:p>
            <w:r>
              <w:rPr>
                <w:b/>
                <w:sz w:val="22"/>
              </w:rPr>
              <w:t xml:space="preserve">57,600.00</w:t>
            </w:r>
          </w:p>
        </w:tc>
      </w:tr>
      <w:tr>
        <w:tc>
          <w:tcPr>
            <w:tcW w:w="8283" w:type="dxa"/>
            <w:gridSpan w:val="2"/>
          </w:tcPr>
          <w:p>
            <w:r>
              <w:rPr>
                <w:sz w:val="22"/>
              </w:rPr>
              <w:t xml:space="preserve">Invoices are sent when each milestone is accepted and are due within 30 days.</w:t>
            </w:r>
          </w:p>
        </w:tc>
        <w:tc>
          <w:tcPr>
            <w:tcW w:w="0" w:type="auto"/>
          </w:tcPr>
          <w:p/>
        </w:tc>
        <w:tc>
          <w:tcPr>
            <w:tcW w:w="0" w:type="auto"/>
          </w:tcPr>
          <w:p/>
        </w:tc>
      </w:tr>
    </w:tbl>
    <w:p>
      <w:pPr>
        <w:pStyle w:val="Heading2"/>
      </w:pPr>
      <w:r>
        <w:rPr>
          <w:b/>
          <w:sz w:val="22"/>
        </w:rPr>
        <w:t xml:space="preserve">Fee (USD)</w:t>
      </w:r>
    </w:p>
    <w:p>
      <w:pPr>
        <w:spacing w:before="0" w:after="0" w:line="20" w:lineRule="exact"/>
        <w:sectPr>
          <w:type w:val="nextPage"/>
          <w:pgSz w:w="12240" w:h="15840"/>
          <w:pgMar w:top="1440" w:right="1440" w:bottom="1440" w:left="1440" w:header="720" w:footer="720" w:gutter="0"/>
        </w:sectPr>
      </w:pPr>
    </w:p>
    <w:p>
      <w:pPr>
        <w:pStyle w:val="Heading2"/>
      </w:pPr>
      <w:r>
        <w:rPr>
          <w:b/>
          <w:color w:val="1F4E5F"/>
          <w:sz w:val="26"/>
        </w:rPr>
        <w:t xml:space="preserve">4. Acceptance</w:t>
      </w:r>
    </w:p>
    <w:p>
      <w:r>
        <w:rPr>
          <w:sz w:val="22"/>
        </w:rPr>
        <w:t xml:space="preserve">The client has ten business days after each delivery to accept it or send a written list of defects. Harbor Lane fixes listed defects and delivers again; the ten-day period then restarts. A milestone is accepted if no list arrives within the period.</w:t>
      </w:r>
    </w:p>
    <w:p>
      <w:pPr>
        <w:pStyle w:val="Heading2"/>
      </w:pPr>
      <w:r>
        <w:rPr>
          <w:b/>
          <w:color w:val="1F4E5F"/>
          <w:sz w:val="26"/>
        </w:rPr>
        <w:t xml:space="preserve">5. Assumptions</w:t>
      </w:r>
    </w:p>
    <w:tbl>
      <w:tblPr>
        <w:tblW w:w="0" w:type="auto"/>
        <w:tblBorders>
          <w:top w:val="nil"/>
          <w:left w:val="nil"/>
          <w:bottom w:val="nil"/>
          <w:right w:val="nil"/>
          <w:insideH w:val="nil"/>
          <w:insideV w:val="nil"/>
        </w:tblBorders>
      </w:tblPr>
      <w:tblGrid>
        <w:gridCol w:w="400"/>
        <w:gridCol w:w="8009"/>
      </w:tblGrid>
      <w:tr>
        <w:tc>
          <w:tcPr>
            <w:tcW w:w="400" w:type="dxa"/>
          </w:tcPr>
          <w:p>
            <w:r>
              <w:rPr>
                <w:sz w:val="22"/>
              </w:rPr>
              <w:t xml:space="preserve">•</w:t>
            </w:r>
          </w:p>
        </w:tc>
        <w:tc>
          <w:tcPr>
            <w:tcW w:w="8009" w:type="dxa"/>
          </w:tcPr>
          <w:p>
            <w:r>
              <w:rPr>
                <w:sz w:val="22"/>
              </w:rPr>
              <w:t xml:space="preserve">The client names one product owner who can answer questions within two business days.</w:t>
            </w:r>
          </w:p>
        </w:tc>
      </w:tr>
      <w:tr>
        <w:tc>
          <w:tcPr>
            <w:tcW w:w="400" w:type="dxa"/>
          </w:tcPr>
          <w:p>
            <w:r>
              <w:rPr>
                <w:sz w:val="22"/>
              </w:rPr>
              <w:t xml:space="preserve">•</w:t>
            </w:r>
          </w:p>
        </w:tc>
        <w:tc>
          <w:tcPr>
            <w:tcW w:w="8009" w:type="dxa"/>
          </w:tcPr>
          <w:p>
            <w:r>
              <w:rPr>
                <w:sz w:val="22"/>
              </w:rPr>
              <w:t xml:space="preserve">The practice management system accepts a CSV import of appointments.</w:t>
            </w:r>
          </w:p>
        </w:tc>
      </w:tr>
      <w:tr>
        <w:tc>
          <w:tcPr>
            <w:tcW w:w="400" w:type="dxa"/>
          </w:tcPr>
          <w:p>
            <w:r>
              <w:rPr>
                <w:sz w:val="22"/>
              </w:rPr>
              <w:t xml:space="preserve">•</w:t>
            </w:r>
          </w:p>
        </w:tc>
        <w:tc>
          <w:tcPr>
            <w:tcW w:w="8009" w:type="dxa"/>
          </w:tcPr>
          <w:p>
            <w:r>
              <w:rPr>
                <w:sz w:val="22"/>
              </w:rPr>
              <w:t xml:space="preserve">Text messages are sent through the client's existing messaging account.</w:t>
            </w:r>
          </w:p>
        </w:tc>
      </w:tr>
    </w:tbl>
    <w:p>
      <w:pPr>
        <w:pStyle w:val="Heading2"/>
      </w:pPr>
      <w:r>
        <w:rPr>
          <w:b/>
          <w:color w:val="1F4E5F"/>
          <w:sz w:val="26"/>
        </w:rPr>
        <w:t xml:space="preserve">6. Signatures</w:t>
      </w:r>
    </w:p>
    <w:p>
      <w:r>
        <w:rPr>
          <w:sz w:val="22"/>
        </w:rPr>
        <w:t xml:space="preserve">For Cedar Point Dental Group</w:t>
      </w:r>
    </w:p>
    <w:p>
      <w:r>
        <w:rPr>
          <w:sz w:val="22"/>
        </w:rPr>
        <w:t xml:space="preserve">For Harbor Lane Software Co.</w:t>
      </w:r>
    </w:p>
    <w:p>
      <w:r>
        <w:rPr>
          <w:sz w:val="22"/>
        </w:rPr>
        <w:t xml:space="preserve">______________________________ Name, title, date</w:t>
      </w:r>
    </w:p>
    <w:p>
      <w:r>
        <w:rPr>
          <w:sz w:val="22"/>
        </w:rPr>
        <w:t xml:space="preserve">______________________________ Name, title, date</w:t>
      </w:r>
    </w:p>
    <w:sectPr>
      <w:type w:val="nextPage"/>
      <w:pgSz w:w="12240" w:h="15840"/>
      <w:pgMar w:top="1440" w:right="1440" w:bottom="1440" w:left="1440" w:header="720" w:footer="720" w:gutter="0"/>
    </w:sectPr>
  </w:body>
</w:document>
</file>

<file path=word/styles.xml><?xml version="1.0" encoding="utf-8"?>
<w:styles xmlns:w="http://schemas.openxmlformats.org/wordprocessingml/2006/main">
  <w:style w:type="paragraph" w:default="1" w:styleId="Normal">
    <w:name w:val="Normal"/>
    <w:pPr>
      <w:spacing w:after="120"/>
    </w:pPr>
  </w:style>
  <w:style w:type="paragraph" w:styleId="Heading1">
    <w:name w:val="heading 1"/>
    <w:basedOn w:val="Normal"/>
    <w:next w:val="Normal"/>
    <w:pPr>
      <w:keepNext/>
      <w:spacing w:before="240"/>
      <w:outlineLvl w:val="0"/>
    </w:pPr>
    <w:rPr>
      <w:b/>
    </w:rPr>
  </w:style>
  <w:style w:type="paragraph" w:styleId="Heading2">
    <w:name w:val="heading 2"/>
    <w:basedOn w:val="Normal"/>
    <w:next w:val="Normal"/>
    <w:pPr>
      <w:keepNext/>
      <w:spacing w:before="200"/>
      <w:outlineLvl w:val="1"/>
    </w:pPr>
    <w:rPr>
      <w:b/>
    </w:r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Img1" Type="http://schemas.openxmlformats.org/officeDocument/2006/relationships/image" Target="media/image1.png"/></Relationships>
</file>

<file path=docProps/core.xml><?xml version="1.0" encoding="utf-8"?>
<cp:coreProperties xmlns:cp="http://schemas.openxmlformats.org/package/2006/metadata/core-properties" xmlns:dc="http://purl.org/dc/elements/1.1/">
  <dc:title>Statement of Work: Patient Scheduling App</dc:title>
</cp:coreProperties>
</file>