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body>
    <w:p>
      <w:pPr>
        <w:spacing w:after="240"/>
        <w:jc w:val="left"/>
      </w:pPr>
      <w:r>
        <w:drawing>
          <wp:inline distT="0" distB="0" distL="0" distR="0">
            <wp:extent cx="1524000" cy="609600"/>
            <wp:effectExtent l="0" t="0" r="0" b="0"/>
            <wp:docPr id="1" name="Picture 1" descr=""/>
            <wp:cNvGraphicFramePr/>
            <a:graphic>
              <a:graphicData uri="http://schemas.openxmlformats.org/drawingml/2006/picture">
                <pic:pic>
                  <pic:nvPicPr>
                    <pic:cNvPr id="0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left"/>
      </w:pPr>
      <w:r>
        <w:rPr>
          <w:rFonts w:ascii="Times New Roman" w:hAnsi="Times New Roman"/>
          <w:sz w:val="22"/>
        </w:rPr>
        <w:t xml:space="preserve">April 18, 2027</w:t>
      </w:r>
    </w:p>
    <w:p>
      <w:pPr>
        <w:spacing w:before="240" w:after="0"/>
        <w:jc w:val="left"/>
      </w:pPr>
      <w:r>
        <w:rPr>
          <w:rFonts w:ascii="Times New Roman" w:hAnsi="Times New Roman"/>
          <w:sz w:val="22"/>
        </w:rPr>
        <w:t xml:space="preserve">Harbor View Apartments, unit 4B</w:t>
      </w:r>
    </w:p>
    <w:p>
      <w:pPr>
        <w:spacing w:after="240"/>
        <w:jc w:val="left"/>
      </w:pPr>
      <w:r>
        <w:rPr>
          <w:rFonts w:ascii="Times New Roman" w:hAnsi="Times New Roman"/>
          <w:sz w:val="22"/>
        </w:rPr>
        <w:t xml:space="preserve">22 Harbor View Road, Millbrook</w:t>
      </w:r>
    </w:p>
    <w:p>
      <w:pPr>
        <w:spacing w:after="120"/>
        <w:jc w:val="left"/>
      </w:pPr>
      <w:r>
        <w:rPr>
          <w:rFonts w:ascii="Times New Roman" w:hAnsi="Times New Roman"/>
          <w:sz w:val="22"/>
        </w:rPr>
        <w:t xml:space="preserve">Dear resident,</w:t>
      </w:r>
    </w:p>
    <w:p>
      <w:pPr>
        <w:pStyle w:val="Heading1"/>
        <w:spacing w:before="240" w:after="120"/>
        <w:jc w:val="left"/>
      </w:pPr>
      <w:r>
        <w:rPr>
          <w:rFonts w:ascii="Arial" w:hAnsi="Arial"/>
          <w:color w:val="1F4E79"/>
        </w:rPr>
        <w:t xml:space="preserve">Estimate for refrigerator repair</w:t>
      </w:r>
    </w:p>
    <w:p>
      <w:pPr>
        <w:spacing w:after="120"/>
        <w:jc w:val="left"/>
      </w:pPr>
      <w:r>
        <w:rPr>
          <w:rFonts w:ascii="Times New Roman" w:hAnsi="Times New Roman"/>
          <w:sz w:val="22"/>
        </w:rPr>
        <w:t xml:space="preserve">Our technician inspected your refrigerator on April 16. The fresh-food section held 52°F against a set point of 37°F because the evaporator fan motor has failed and the defrost heater is open. Both parts are in stock at our shop, and the repair takes about 1½ hours.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1080"/>
        <w:gridCol w:w="1800"/>
        <w:gridCol w:w="2160"/>
      </w:tblGrid>
      <w:tr>
        <w:trPr>
          <w:tblHeader/>
        </w:trPr>
        <w:tc>
          <w:tcPr>
            <w:tcW w:w="432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C8DAF0"/>
          </w:tcPr>
          <w:p>
            <w:pPr>
              <w:jc w:val="left"/>
            </w:pPr>
            <w:r>
              <w:rPr>
                <w:rFonts w:ascii="Times New Roman" w:hAnsi="Times New Roman"/>
                <w:b/>
                <w:sz w:val="20"/>
              </w:rPr>
              <w:t xml:space="preserve">Item</w:t>
            </w:r>
          </w:p>
        </w:tc>
        <w:tc>
          <w:tcPr>
            <w:tcW w:w="10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C8DAF0"/>
          </w:tcPr>
          <w:p>
            <w:pPr>
              <w:jc w:val="right"/>
            </w:pPr>
            <w:r>
              <w:rPr>
                <w:rFonts w:ascii="Times New Roman" w:hAnsi="Times New Roman"/>
                <w:b/>
                <w:sz w:val="20"/>
              </w:rPr>
              <w:t xml:space="preserve">Qty</w:t>
            </w:r>
          </w:p>
        </w:tc>
        <w:tc>
          <w:tcPr>
            <w:tcW w:w="18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C8DAF0"/>
          </w:tcPr>
          <w:p>
            <w:pPr>
              <w:jc w:val="right"/>
            </w:pPr>
            <w:r>
              <w:rPr>
                <w:rFonts w:ascii="Times New Roman" w:hAnsi="Times New Roman"/>
                <w:b/>
                <w:sz w:val="20"/>
              </w:rPr>
              <w:t xml:space="preserve">Unit price</w:t>
            </w:r>
          </w:p>
        </w:tc>
        <w:tc>
          <w:tcPr>
            <w:tcW w:w="2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C8DAF0"/>
          </w:tcPr>
          <w:p>
            <w:pPr>
              <w:jc w:val="right"/>
            </w:pPr>
            <w:r>
              <w:rPr>
                <w:rFonts w:ascii="Times New Roman" w:hAnsi="Times New Roman"/>
                <w:b/>
                <w:sz w:val="20"/>
              </w:rPr>
              <w:t xml:space="preserve">Amount</w:t>
            </w:r>
          </w:p>
        </w:tc>
      </w:tr>
      <w:tr>
        <w:tc>
          <w:tcPr>
            <w:tcW w:w="432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</w:rPr>
              <w:t xml:space="preserve">Evaporator fan motor</w:t>
            </w:r>
          </w:p>
        </w:tc>
        <w:tc>
          <w:tcPr>
            <w:tcW w:w="10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</w:rPr>
              <w:t xml:space="preserve">1</w:t>
            </w:r>
          </w:p>
        </w:tc>
        <w:tc>
          <w:tcPr>
            <w:tcW w:w="18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</w:rPr>
              <w:t xml:space="preserve">$86.40</w:t>
            </w:r>
          </w:p>
        </w:tc>
        <w:tc>
          <w:tcPr>
            <w:tcW w:w="2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</w:rPr>
              <w:t xml:space="preserve">$86.40</w:t>
            </w:r>
          </w:p>
        </w:tc>
      </w:tr>
      <w:tr>
        <w:tc>
          <w:tcPr>
            <w:tcW w:w="432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</w:rPr>
              <w:t xml:space="preserve">Defrost heater</w:t>
            </w:r>
          </w:p>
        </w:tc>
        <w:tc>
          <w:tcPr>
            <w:tcW w:w="10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</w:rPr>
              <w:t xml:space="preserve">1</w:t>
            </w:r>
          </w:p>
        </w:tc>
        <w:tc>
          <w:tcPr>
            <w:tcW w:w="18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</w:rPr>
              <w:t xml:space="preserve">$42.15</w:t>
            </w:r>
          </w:p>
        </w:tc>
        <w:tc>
          <w:tcPr>
            <w:tcW w:w="2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</w:rPr>
              <w:t xml:space="preserve">$42.15</w:t>
            </w:r>
          </w:p>
        </w:tc>
      </w:tr>
      <w:tr>
        <w:tc>
          <w:tcPr>
            <w:tcW w:w="432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</w:rPr>
              <w:t xml:space="preserve">Labor (hours)</w:t>
            </w:r>
          </w:p>
        </w:tc>
        <w:tc>
          <w:tcPr>
            <w:tcW w:w="10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</w:rPr>
              <w:t xml:space="preserve">1.5</w:t>
            </w:r>
          </w:p>
        </w:tc>
        <w:tc>
          <w:tcPr>
            <w:tcW w:w="18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</w:rPr>
              <w:t xml:space="preserve">$95.00</w:t>
            </w:r>
          </w:p>
        </w:tc>
        <w:tc>
          <w:tcPr>
            <w:tcW w:w="2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</w:rPr>
              <w:t xml:space="preserve">$142.50</w:t>
            </w:r>
          </w:p>
        </w:tc>
      </w:tr>
      <w:tr>
        <w:tc>
          <w:tcPr>
            <w:tcW w:w="432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</w:rPr>
              <w:t xml:space="preserve">Service call (paid April 16)</w:t>
            </w:r>
          </w:p>
        </w:tc>
        <w:tc>
          <w:tcPr>
            <w:tcW w:w="108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</w:rPr>
              <w:t xml:space="preserve">1</w:t>
            </w:r>
          </w:p>
        </w:tc>
        <w:tc>
          <w:tcPr>
            <w:tcW w:w="180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</w:rPr>
              <w:t xml:space="preserve">$65.00</w:t>
            </w:r>
          </w:p>
        </w:tc>
        <w:tc>
          <w:tcPr>
            <w:tcW w:w="2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</w:rPr>
              <w:t xml:space="preserve">$65.00</w:t>
            </w:r>
          </w:p>
        </w:tc>
      </w:tr>
      <w:tr>
        <w:tc>
          <w:tcPr>
            <w:tcW w:w="7200" w:type="dxa"/>
            <w:gridSpan w:val="3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</w:rPr>
              <w:t xml:space="preserve">Subtotal</w:t>
            </w:r>
          </w:p>
        </w:tc>
        <w:tc>
          <w:tcPr>
            <w:tcW w:w="2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</w:rPr>
              <w:t xml:space="preserve">$336.05</w:t>
            </w:r>
          </w:p>
        </w:tc>
      </w:tr>
      <w:tr>
        <w:tc>
          <w:tcPr>
            <w:tcW w:w="7200" w:type="dxa"/>
            <w:gridSpan w:val="3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sz w:val="20"/>
              </w:rPr>
              <w:t xml:space="preserve">Sales tax on parts (8%)</w:t>
            </w:r>
          </w:p>
        </w:tc>
        <w:tc>
          <w:tcPr>
            <w:tcW w:w="2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0"/>
              </w:rPr>
              <w:t xml:space="preserve">$10.28</w:t>
            </w:r>
          </w:p>
        </w:tc>
      </w:tr>
      <w:tr>
        <w:tc>
          <w:tcPr>
            <w:tcW w:w="7200" w:type="dxa"/>
            <w:gridSpan w:val="3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left"/>
            </w:pPr>
            <w:r>
              <w:rPr>
                <w:rFonts w:ascii="Times New Roman" w:hAnsi="Times New Roman"/>
                <w:b/>
                <w:sz w:val="20"/>
              </w:rPr>
              <w:t xml:space="preserve">Total due on approval</w:t>
            </w:r>
          </w:p>
        </w:tc>
        <w:tc>
          <w:tcPr>
            <w:tcW w:w="2160" w:type="dxa"/>
            <w:tcBorders>
              <w:top w:val="single" w:sz="4" w:space="0" w:color="1F4E79"/>
              <w:left w:val="single" w:sz="4" w:space="0" w:color="1F4E79"/>
              <w:bottom w:val="single" w:sz="4" w:space="0" w:color="1F4E79"/>
              <w:right w:val="single" w:sz="4" w:space="0" w:color="1F4E79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b/>
                <w:sz w:val="20"/>
              </w:rPr>
              <w:t xml:space="preserve">$346.33</w:t>
            </w:r>
          </w:p>
        </w:tc>
      </w:tr>
    </w:tbl>
    <w:p>
      <w:pPr>
        <w:spacing w:before="240" w:after="120"/>
        <w:jc w:val="left"/>
      </w:pPr>
      <w:r>
        <w:rPr>
          <w:rFonts w:ascii="Times New Roman" w:hAnsi="Times New Roman"/>
          <w:sz w:val="22"/>
        </w:rPr>
        <w:t xml:space="preserve">Reference: </w:t>
      </w:r>
      <w:r>
        <w:rPr>
          <w:rFonts w:ascii="Courier New" w:hAnsi="Courier New"/>
          <w:sz w:val="20"/>
        </w:rPr>
        <w:t xml:space="preserve">EST-2027-0418</w:t>
      </w:r>
      <w:r>
        <w:rPr>
          <w:rFonts w:ascii="Times New Roman" w:hAnsi="Times New Roman"/>
          <w:sz w:val="22"/>
        </w:rPr>
        <w:t xml:space="preserve">. The café cooler in the lobby was checked on the same visit and needs no work.</w:t>
      </w:r>
    </w:p>
    <w:p>
      <w:pPr>
        <w:pStyle w:val="Heading2"/>
        <w:spacing w:before="200" w:after="80"/>
        <w:jc w:val="left"/>
      </w:pPr>
      <w:r>
        <w:rPr>
          <w:rFonts w:ascii="Arial" w:hAnsi="Arial"/>
          <w:color w:val="1F4E79"/>
        </w:rPr>
        <w:t xml:space="preserve">What the estimate does not cover</w:t>
      </w:r>
    </w:p>
    <w:p>
      <w:pPr>
        <w:pStyle w:val="ListParagraph"/>
        <w:numPr>
          <w:ilvl w:val="0"/>
          <w:numId w:val="1"/>
        </w:numPr>
        <w:spacing w:after="60"/>
        <w:ind w:left="720" w:hanging="360"/>
        <w:jc w:val="left"/>
      </w:pPr>
      <w:r>
        <w:rPr>
          <w:rFonts w:ascii="Times New Roman" w:hAnsi="Times New Roman"/>
          <w:sz w:val="22"/>
        </w:rPr>
        <w:t xml:space="preserve">Food that spoiled before or during the repair</w:t>
      </w:r>
    </w:p>
    <w:p>
      <w:pPr>
        <w:pStyle w:val="ListParagraph"/>
        <w:numPr>
          <w:ilvl w:val="0"/>
          <w:numId w:val="1"/>
        </w:numPr>
        <w:spacing w:after="60"/>
        <w:ind w:left="720" w:hanging="360"/>
        <w:jc w:val="left"/>
      </w:pPr>
      <w:r>
        <w:rPr>
          <w:rFonts w:ascii="Times New Roman" w:hAnsi="Times New Roman"/>
          <w:sz w:val="22"/>
        </w:rPr>
        <w:t xml:space="preserve">The ice maker, which was not tested</w:t>
      </w:r>
    </w:p>
    <w:p>
      <w:pPr>
        <w:pStyle w:val="ListParagraph"/>
        <w:numPr>
          <w:ilvl w:val="0"/>
          <w:numId w:val="1"/>
        </w:numPr>
        <w:spacing w:after="120"/>
        <w:ind w:left="720" w:hanging="360"/>
        <w:jc w:val="left"/>
      </w:pPr>
      <w:r>
        <w:rPr>
          <w:rFonts w:ascii="Times New Roman" w:hAnsi="Times New Roman"/>
          <w:sz w:val="22"/>
        </w:rPr>
        <w:t xml:space="preserve">Damage to flooring when the unit is pulled out</w:t>
      </w:r>
    </w:p>
    <w:p>
      <w:pPr>
        <w:pStyle w:val="Heading2"/>
        <w:spacing w:before="200" w:after="80"/>
        <w:jc w:val="left"/>
      </w:pPr>
      <w:r>
        <w:rPr>
          <w:rFonts w:ascii="Arial" w:hAnsi="Arial"/>
          <w:color w:val="1F4E79"/>
        </w:rPr>
        <w:t xml:space="preserve">How to approve</w:t>
      </w:r>
    </w:p>
    <w:p>
      <w:pPr>
        <w:pStyle w:val="ListParagraph"/>
        <w:numPr>
          <w:ilvl w:val="0"/>
          <w:numId w:val="2"/>
        </w:numPr>
        <w:spacing w:after="60"/>
        <w:ind w:left="720" w:hanging="360"/>
        <w:jc w:val="left"/>
      </w:pPr>
      <w:r>
        <w:rPr>
          <w:rFonts w:ascii="Times New Roman" w:hAnsi="Times New Roman"/>
          <w:sz w:val="22"/>
        </w:rPr>
        <w:t xml:space="preserve">Reply to this letter or call the shop before May 18, 2027.</w:t>
      </w:r>
    </w:p>
    <w:p>
      <w:pPr>
        <w:pStyle w:val="ListParagraph"/>
        <w:numPr>
          <w:ilvl w:val="0"/>
          <w:numId w:val="2"/>
        </w:numPr>
        <w:spacing w:after="60"/>
        <w:ind w:left="720" w:hanging="360"/>
        <w:jc w:val="left"/>
      </w:pPr>
      <w:r>
        <w:rPr>
          <w:rFonts w:ascii="Times New Roman" w:hAnsi="Times New Roman"/>
          <w:sz w:val="22"/>
        </w:rPr>
        <w:t xml:space="preserve">Or approve online at </w:t>
      </w:r>
      <w:hyperlink r:id="rId2" w:history="1">
        <w:r>
          <w:rPr>
            <w:rFonts w:ascii="Times New Roman" w:hAnsi="Times New Roman"/>
            <w:color w:val="1F4E79"/>
            <w:sz w:val="22"/>
            <w:u w:val="single"/>
          </w:rPr>
          <w:t xml:space="preserve">example.com/cedar-lane/approve</w:t>
        </w:r>
      </w:hyperlink>
      <w:r>
        <w:rPr>
          <w:rFonts w:ascii="Times New Roman" w:hAnsi="Times New Roman"/>
          <w:sz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20"/>
        <w:ind w:left="720" w:hanging="360"/>
        <w:jc w:val="left"/>
      </w:pPr>
      <w:r>
        <w:rPr>
          <w:rFonts w:ascii="Times New Roman" w:hAnsi="Times New Roman"/>
          <w:sz w:val="22"/>
        </w:rPr>
        <w:t xml:space="preserve">We book the repair within </w:t>
      </w:r>
      <w:r>
        <w:rPr>
          <w:rFonts w:ascii="Times New Roman" w:hAnsi="Times New Roman"/>
          <w:b/>
          <w:sz w:val="22"/>
        </w:rPr>
        <w:t xml:space="preserve">two business days</w:t>
      </w:r>
      <w:r>
        <w:rPr>
          <w:rFonts w:ascii="Times New Roman" w:hAnsi="Times New Roman"/>
          <w:sz w:val="22"/>
        </w:rPr>
        <w:t xml:space="preserve"> of your approval.</w:t>
      </w:r>
    </w:p>
    <w:p>
      <w:pPr>
        <w:pStyle w:val="Heading1"/>
        <w:spacing w:before="240" w:after="120"/>
        <w:jc w:val="left"/>
      </w:pPr>
      <w:r>
        <w:rPr>
          <w:rFonts w:ascii="Times New Roman" w:hAnsi="Times New Roman"/>
          <w:sz w:val="22"/>
        </w:rPr>
        <w:br w:type="page"/>
      </w:r>
      <w:r>
        <w:rPr>
          <w:rFonts w:ascii="Arial" w:hAnsi="Arial"/>
          <w:color w:val="1F4E79"/>
        </w:rPr>
        <w:t xml:space="preserve">Terms</w:t>
      </w:r>
    </w:p>
    <w:p>
      <w:pPr>
        <w:spacing w:after="120"/>
        <w:jc w:val="left"/>
      </w:pPr>
      <w:r>
        <w:rPr>
          <w:rFonts w:ascii="Times New Roman" w:hAnsi="Times New Roman"/>
          <w:b/>
          <w:sz w:val="22"/>
        </w:rPr>
        <w:t xml:space="preserve">Warranty.</w:t>
      </w:r>
      <w:r>
        <w:rPr>
          <w:rFonts w:ascii="Times New Roman" w:hAnsi="Times New Roman"/>
          <w:sz w:val="22"/>
        </w:rPr>
        <w:t xml:space="preserve"> Parts and labor on this repair are covered for </w:t>
      </w:r>
      <w:r>
        <w:rPr>
          <w:rFonts w:ascii="Times New Roman" w:hAnsi="Times New Roman"/>
          <w:i/>
          <w:sz w:val="22"/>
        </w:rPr>
        <w:t xml:space="preserve">90 days</w:t>
      </w:r>
      <w:r>
        <w:rPr>
          <w:rFonts w:ascii="Times New Roman" w:hAnsi="Times New Roman"/>
          <w:sz w:val="22"/>
        </w:rPr>
        <w:t xml:space="preserve">. The warranty does not cover damage from power surges, moving the unit or repairs made by others.</w:t>
      </w:r>
    </w:p>
    <w:p>
      <w:pPr>
        <w:spacing w:after="120"/>
        <w:jc w:val="left"/>
      </w:pPr>
      <w:r>
        <w:rPr>
          <w:rFonts w:ascii="Times New Roman" w:hAnsi="Times New Roman"/>
          <w:b/>
          <w:sz w:val="22"/>
        </w:rPr>
        <w:t xml:space="preserve">Payment.</w:t>
      </w:r>
      <w:r>
        <w:rPr>
          <w:rFonts w:ascii="Times New Roman" w:hAnsi="Times New Roman"/>
          <w:sz w:val="22"/>
        </w:rPr>
        <w:t xml:space="preserve"> The total is due when the work is done. </w:t>
      </w:r>
      <w:r>
        <w:rPr>
          <w:rFonts w:ascii="Times New Roman" w:hAnsi="Times New Roman"/>
          <w:b/>
          <w:color w:val="B22222"/>
          <w:sz w:val="22"/>
        </w:rPr>
        <w:t xml:space="preserve">Estimates over $500 need a 25% deposit.</w:t>
      </w:r>
      <w:r>
        <w:rPr>
          <w:rFonts w:ascii="Times New Roman" w:hAnsi="Times New Roman"/>
          <w:sz w:val="22"/>
        </w:rPr>
        <w:t xml:space="preserve"> We accept checks and cards at the door.</w:t>
      </w:r>
    </w:p>
    <w:p>
      <w:pPr>
        <w:spacing w:after="120"/>
        <w:jc w:val="left"/>
      </w:pPr>
      <w:r>
        <w:rPr>
          <w:rFonts w:ascii="Times New Roman" w:hAnsi="Times New Roman"/>
          <w:b/>
          <w:sz w:val="22"/>
        </w:rPr>
        <w:t xml:space="preserve">Cancellations.</w:t>
      </w:r>
      <w:r>
        <w:rPr>
          <w:rFonts w:ascii="Times New Roman" w:hAnsi="Times New Roman"/>
          <w:sz w:val="22"/>
        </w:rPr>
        <w:t xml:space="preserve"> Cancel at least one business day before the booked visit, or a </w:t>
      </w:r>
      <w:r>
        <w:rPr>
          <w:rFonts w:ascii="Times New Roman" w:hAnsi="Times New Roman"/>
          <w:sz w:val="22"/>
          <w:shd w:val="clear" w:color="auto" w:fill="FFF2A8"/>
        </w:rPr>
        <w:t xml:space="preserve">$40.00 trip fee</w:t>
      </w:r>
      <w:r>
        <w:rPr>
          <w:rFonts w:ascii="Times New Roman" w:hAnsi="Times New Roman"/>
          <w:sz w:val="22"/>
        </w:rPr>
        <w:t xml:space="preserve"> applies.</w:t>
      </w:r>
    </w:p>
    <w:p>
      <w:pPr>
        <w:spacing w:before="480" w:after="0"/>
        <w:jc w:val="left"/>
      </w:pPr>
      <w:r>
        <w:rPr>
          <w:rFonts w:ascii="Times New Roman" w:hAnsi="Times New Roman"/>
          <w:sz w:val="22"/>
        </w:rPr>
        <w:t xml:space="preserve">Technician ID 27</w:t>
      </w:r>
    </w:p>
    <w:p>
      <w:pPr>
        <w:spacing w:after="0"/>
        <w:jc w:val="left"/>
      </w:pPr>
      <w:r>
        <w:rPr>
          <w:rFonts w:ascii="Times New Roman" w:hAnsi="Times New Roman"/>
          <w:sz w:val="22"/>
        </w:rPr>
        <w:t xml:space="preserve">Cedar Lane Appliance Repair</w:t>
      </w:r>
    </w:p>
    <w:sectPr>
      <w:headerReference w:type="default" r:id="rId3"/>
      <w:footerReference w:type="default" r:id="rId4"/>
      <w:type w:val="nextPage"/>
      <w:pgSz w:w="12240" w:h="15840"/>
      <w:pgMar w:top="1080" w:right="1440" w:bottom="1080" w:left="1440" w:header="720" w:footer="720" w:gutter="0"/>
      <w:cols w:space="720" w:num="1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p>
    <w:pPr>
      <w:jc w:val="center"/>
    </w:pPr>
    <w:r>
      <w:rPr>
        <w:rFonts w:ascii="Arial" w:hAnsi="Arial"/>
        <w:color w:val="595959"/>
        <w:sz w:val="16"/>
      </w:rPr>
      <w:t xml:space="preserve">Estimate 2027-0418, page 1 of 2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p>
    <w:pPr>
      <w:jc w:val="right"/>
    </w:pPr>
    <w:r>
      <w:rPr>
        <w:rFonts w:ascii="Arial" w:hAnsi="Arial"/>
        <w:color w:val="595959"/>
        <w:sz w:val="16"/>
      </w:rPr>
      <w:t xml:space="preserve">Cedar Lane Appliance Repair, 418 Cedar Lane, Millbrook</w: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abstractNum w:abstractNumId="0">
    <w:multiLevelType w:val="multilevel"/>
    <w:lvl w:ilvl="0">
      <w:start w:val="1"/>
      <w:numFmt w:val="bullet"/>
      <w:lvlText w:val="•"/>
      <w:lvlJc w:val="left"/>
      <w:pPr>
        <w:ind w:left="720" w:hanging="360"/>
      </w:pPr>
      <w:rPr>
        <w:rFonts w:ascii="Arial" w:hAnsi="Arial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hAnsi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hAnsi="Arial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hAnsi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hAnsi="Arial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hAnsi="Arial"/>
      </w:rPr>
    </w:lvl>
  </w:abstractNum>
  <w:abstractNum w:abstractNumId="1"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zoom w:percent="100"/>
  <w:defaultTabStop w:val="720"/>
  <w:characterSpacingControl w:val="doNotCompress"/>
  <w:footnotePr>
    <w:numFmt w:val="decimal"/>
  </w:footnotePr>
  <w:endnotePr>
    <w:numFmt w:val="lowerRoman"/>
  </w:end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pi="http://schemas.microsoft.com/office/word/2010/wordprocessingInk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wpc="http://schemas.microsoft.com/office/word/2010/wordprocessingCanvas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15 wp14">
  <w:docDefaults>
    <w:rPrDefault>
      <w:rPr>
        <w:rFonts w:ascii="Times New Roman" w:hAnsi="Times New Roman"/>
        <w:kern w:val="2"/>
        <w:sz w:val="24"/>
        <w:lang w:val="en-US"/>
      </w:rPr>
    </w:rPrDefault>
    <w:pPrDefault>
      <w:pPr>
        <w:widowControl/>
        <w:spacing w:before="0" w:after="0" w:line="240" w:lineRule="auto"/>
      </w:pPr>
    </w:pPrDefault>
  </w:docDefaults>
  <w:style w:type="paragraph" w:styleId="Normal" w:default="1">
    <w:name w:val="Normal"/>
    <w:uiPriority w:val="0"/>
    <w:qFormat/>
  </w:style>
  <w:style w:type="character" w:styleId="DefaultParagraphFont" w:default="1">
    <w:name w:val="Default Paragraph Font"/>
    <w:uiPriority w:val="1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10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</w:rPr>
  </w:style>
  <w:style w:type="paragraph" w:styleId="Heading2">
    <w:name w:val="heading 2"/>
    <w:basedOn w:val="Normal"/>
    <w:next w:val="Normal"/>
    <w:link w:val="Heading2Char"/>
    <w:uiPriority w:val="11"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</w:rPr>
  </w:style>
  <w:style w:type="paragraph" w:styleId="Heading3">
    <w:name w:val="heading 3"/>
    <w:basedOn w:val="Normal"/>
    <w:next w:val="Normal"/>
    <w:link w:val="Heading3Char"/>
    <w:uiPriority w:val="12"/>
    <w:qFormat/>
    <w:pPr>
      <w:keepNext/>
      <w:keepLines/>
      <w:spacing w:before="160" w:after="80"/>
      <w:outlineLvl w:val="2"/>
    </w:pPr>
    <w:rPr>
      <w:rFonts w:ascii="Aptos" w:hAnsi="Aptos"/>
      <w:color w:val="0F4761"/>
      <w:sz w:val="28"/>
    </w:rPr>
  </w:style>
  <w:style w:type="paragraph" w:styleId="Heading4">
    <w:name w:val="heading 4"/>
    <w:basedOn w:val="Normal"/>
    <w:next w:val="Normal"/>
    <w:link w:val="Heading4Char"/>
    <w:uiPriority w:val="13"/>
    <w:pPr>
      <w:keepNext/>
      <w:keepLines/>
      <w:spacing w:before="80" w:after="40"/>
      <w:outlineLvl w:val="3"/>
    </w:pPr>
    <w:rPr>
      <w:rFonts w:ascii="Aptos" w:hAnsi="Aptos"/>
      <w:i/>
      <w:color w:val="0F4761"/>
      <w:sz w:val="24"/>
    </w:rPr>
  </w:style>
  <w:style w:type="paragraph" w:styleId="Heading5">
    <w:name w:val="heading 5"/>
    <w:basedOn w:val="Normal"/>
    <w:next w:val="Normal"/>
    <w:link w:val="Heading5Char"/>
    <w:uiPriority w:val="14"/>
    <w:pPr>
      <w:keepNext/>
      <w:keepLines/>
      <w:spacing w:before="80" w:after="40"/>
      <w:outlineLvl w:val="4"/>
    </w:pPr>
    <w:rPr>
      <w:rFonts w:ascii="Aptos" w:hAnsi="Aptos"/>
      <w:color w:val="0F4761"/>
      <w:sz w:val="24"/>
    </w:rPr>
  </w:style>
  <w:style w:type="paragraph" w:styleId="Heading6">
    <w:name w:val="heading 6"/>
    <w:basedOn w:val="Normal"/>
    <w:next w:val="Normal"/>
    <w:link w:val="Heading6Char"/>
    <w:uiPriority w:val="15"/>
    <w:pPr>
      <w:keepNext/>
      <w:keepLines/>
      <w:spacing w:before="40" w:after="0"/>
      <w:outlineLvl w:val="5"/>
    </w:pPr>
    <w:rPr>
      <w:rFonts w:ascii="Aptos" w:hAnsi="Aptos"/>
      <w:i/>
      <w:color w:val="595959"/>
      <w:sz w:val="24"/>
    </w:rPr>
  </w:style>
  <w:style w:type="paragraph" w:styleId="Heading7">
    <w:name w:val="heading 7"/>
    <w:basedOn w:val="Normal"/>
    <w:next w:val="Normal"/>
    <w:link w:val="Heading7Char"/>
    <w:uiPriority w:val="16"/>
    <w:pPr>
      <w:keepNext/>
      <w:keepLines/>
      <w:spacing w:before="40" w:after="0"/>
      <w:outlineLvl w:val="6"/>
    </w:pPr>
    <w:rPr>
      <w:rFonts w:ascii="Aptos" w:hAnsi="Aptos"/>
      <w:color w:val="595959"/>
      <w:sz w:val="24"/>
    </w:rPr>
  </w:style>
  <w:style w:type="paragraph" w:styleId="Heading8">
    <w:name w:val="heading 8"/>
    <w:basedOn w:val="Normal"/>
    <w:next w:val="Normal"/>
    <w:link w:val="Heading8Char"/>
    <w:uiPriority w:val="17"/>
    <w:pPr>
      <w:keepNext/>
      <w:keepLines/>
      <w:spacing w:before="0" w:after="0"/>
      <w:outlineLvl w:val="7"/>
    </w:pPr>
    <w:rPr>
      <w:rFonts w:ascii="Aptos" w:hAnsi="Aptos"/>
      <w:i/>
      <w:color w:val="272727"/>
      <w:sz w:val="24"/>
    </w:rPr>
  </w:style>
  <w:style w:type="paragraph" w:styleId="Heading9">
    <w:name w:val="heading 9"/>
    <w:basedOn w:val="Normal"/>
    <w:next w:val="Normal"/>
    <w:link w:val="Heading9Char"/>
    <w:uiPriority w:val="18"/>
    <w:pPr>
      <w:keepNext/>
      <w:keepLines/>
      <w:spacing w:before="0" w:after="0"/>
      <w:outlineLvl w:val="8"/>
    </w:pPr>
    <w:rPr>
      <w:rFonts w:ascii="Aptos" w:hAnsi="Aptos"/>
      <w:color w:val="272727"/>
      <w:sz w:val="24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pacing w:val="15"/>
      <w:sz w:val="28"/>
    </w:rPr>
  </w:style>
  <w:style w:type="character" w:styleId="SubtleEmphasis">
    <w:name w:val="Subtle Emphasis"/>
    <w:basedOn w:val="DefaultParagraphFont"/>
    <w:uiPriority w:val="19"/>
    <w:qFormat/>
    <w:rPr>
      <w:i/>
      <w:color w:val="404040"/>
    </w:rPr>
  </w:style>
  <w:style w:type="character" w:styleId="Emphasis">
    <w:name w:val="Emphasis"/>
    <w:basedOn w:val="DefaultParagraphFont"/>
    <w:uiPriority w:val="20"/>
    <w:qFormat/>
    <w:rPr>
      <w:i/>
    </w:rPr>
  </w:style>
  <w:style w:type="character" w:styleId="IntenseEmphasis">
    <w:name w:val="Intense Emphasis"/>
    <w:basedOn w:val="DefaultParagraphFont"/>
    <w:uiPriority w:val="21"/>
    <w:qFormat/>
    <w:rPr>
      <w:i/>
      <w:color w:val="0F4761"/>
    </w:rPr>
  </w:style>
  <w:style w:type="character" w:styleId="Strong">
    <w:name w:val="Strong"/>
    <w:basedOn w:val="DefaultParagraphFont"/>
    <w:uiPriority w:val="22"/>
    <w:qFormat/>
    <w:rPr>
      <w:b/>
    </w:rPr>
  </w:style>
  <w:style w:type="paragraph" w:styleId="Quote">
    <w:name w:val="Quote"/>
    <w:basedOn w:val="Normal"/>
    <w:next w:val="Normal"/>
    <w:uiPriority w:val="29"/>
    <w:qFormat/>
    <w:pPr>
      <w:spacing w:before="160"/>
      <w:jc w:val="center"/>
    </w:pPr>
    <w:rPr>
      <w:i/>
      <w:color w:val="404040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/>
    </w:rPr>
  </w:style>
  <w:style w:type="character" w:styleId="IntenseReference">
    <w:name w:val="Intense Reference"/>
    <w:basedOn w:val="DefaultParagraphFont"/>
    <w:uiPriority w:val="32"/>
    <w:qFormat/>
    <w:rPr>
      <w:b/>
      <w:smallCaps/>
      <w:color w:val="0F4761"/>
      <w:spacing w:val="5"/>
    </w:rPr>
  </w:style>
  <w:style w:type="character" w:styleId="BookTitle">
    <w:name w:val="Book Title"/>
    <w:basedOn w:val="DefaultParagraphFont"/>
    <w:uiPriority w:val="33"/>
    <w:qFormat/>
    <w:rPr>
      <w:b/>
      <w:i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rPr>
      <w:color w:val="467886"/>
      <w:u w:val="single"/>
    </w:rPr>
  </w:style>
  <w:style w:type="paragraph" w:styleId="Caption">
    <w:name w:val="caption"/>
    <w:basedOn w:val="Normal"/>
    <w:next w:val="Normal"/>
    <w:uiPriority w:val="35"/>
    <w:pPr>
      <w:spacing w:after="200" w:line="240" w:lineRule="auto"/>
    </w:pPr>
    <w:rPr>
      <w:i/>
      <w:color w:val="0E2841"/>
      <w:sz w:val="18"/>
    </w:rPr>
  </w:style>
  <w:style w:type="paragraph" w:styleId="Header">
    <w:name w:val="head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uiPriority w:val="99"/>
    <w:pPr>
      <w:spacing w:after="0" w:line="240" w:lineRule="auto"/>
    </w:pPr>
    <w:rPr>
      <w:sz w:val="20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EndnoteText">
    <w:name w:val="endnote text"/>
    <w:basedOn w:val="Normal"/>
    <w:uiPriority w:val="99"/>
    <w:pPr>
      <w:spacing w:after="0" w:line="240" w:lineRule="auto"/>
    </w:pPr>
    <w:rPr>
      <w:sz w:val="20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TOCHeading">
    <w:name w:val="TOC Heading"/>
    <w:basedOn w:val="Heading1"/>
    <w:next w:val="Normal"/>
    <w:uiPriority w:val="39"/>
    <w:pPr>
      <w:spacing w:before="240"/>
      <w:outlineLvl w:val="9"/>
    </w:pPr>
  </w:style>
  <w:style w:type="paragraph" w:styleId="TOC1">
    <w:name w:val="toc 1"/>
    <w:basedOn w:val="Normal"/>
    <w:next w:val="Normal"/>
    <w:uiPriority w:val="39"/>
    <w:pPr>
      <w:spacing w:after="100"/>
      <w:ind w:left="0"/>
    </w:pPr>
  </w:style>
  <w:style w:type="paragraph" w:styleId="TOC2">
    <w:name w:val="toc 2"/>
    <w:basedOn w:val="Normal"/>
    <w:next w:val="Normal"/>
    <w:uiPriority w:val="39"/>
    <w:pPr>
      <w:spacing w:after="100"/>
      <w:ind w:left="240"/>
    </w:pPr>
  </w:style>
  <w:style w:type="paragraph" w:styleId="TOC3">
    <w:name w:val="toc 3"/>
    <w:basedOn w:val="Normal"/>
    <w:next w:val="Normal"/>
    <w:uiPriority w:val="39"/>
    <w:pPr>
      <w:spacing w:after="100"/>
      <w:ind w:left="480"/>
    </w:pPr>
  </w:style>
  <w:style w:type="paragraph" w:styleId="TOC4">
    <w:name w:val="toc 4"/>
    <w:basedOn w:val="Normal"/>
    <w:next w:val="Normal"/>
    <w:uiPriority w:val="39"/>
    <w:pPr>
      <w:spacing w:after="100"/>
      <w:ind w:left="720"/>
    </w:pPr>
  </w:style>
  <w:style w:type="paragraph" w:styleId="TOC5">
    <w:name w:val="toc 5"/>
    <w:basedOn w:val="Normal"/>
    <w:next w:val="Normal"/>
    <w:uiPriority w:val="39"/>
    <w:pPr>
      <w:spacing w:after="100"/>
      <w:ind w:left="960"/>
    </w:pPr>
  </w:style>
  <w:style w:type="paragraph" w:styleId="TOC6">
    <w:name w:val="toc 6"/>
    <w:basedOn w:val="Normal"/>
    <w:next w:val="Normal"/>
    <w:uiPriority w:val="39"/>
    <w:pPr>
      <w:spacing w:after="100"/>
      <w:ind w:left="1200"/>
    </w:pPr>
  </w:style>
  <w:style w:type="paragraph" w:styleId="TOC7">
    <w:name w:val="toc 7"/>
    <w:basedOn w:val="Normal"/>
    <w:next w:val="Normal"/>
    <w:uiPriority w:val="39"/>
    <w:pPr>
      <w:spacing w:after="100"/>
      <w:ind w:left="1440"/>
    </w:pPr>
  </w:style>
  <w:style w:type="paragraph" w:styleId="TOC8">
    <w:name w:val="toc 8"/>
    <w:basedOn w:val="Normal"/>
    <w:next w:val="Normal"/>
    <w:uiPriority w:val="39"/>
    <w:pPr>
      <w:spacing w:after="100"/>
      <w:ind w:left="1680"/>
    </w:pPr>
  </w:style>
  <w:style w:type="paragraph" w:styleId="TOC9">
    <w:name w:val="toc 9"/>
    <w:basedOn w:val="Normal"/>
    <w:next w:val="Normal"/>
    <w:uiPriority w:val="39"/>
    <w:pPr>
      <w:spacing w:after="100"/>
      <w:ind w:left="1920"/>
    </w:pPr>
  </w:style>
  <w:style w:type="table" w:styleId="TableGrid">
    <w:name w:val="Table 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Normal" w:default="1">
    <w:name w:val="Normal Table"/>
    <w:semiHidden/>
    <w:unhideWhenUsed/>
  </w:style>
  <w:style w:type="table" w:styleId="PlainTable1">
    <w:name w:val="Plain Table 1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band1Horz">
      <w:tcPr>
        <w:shd w:val="clear" w:color="auto" w:fill="F2F2F2"/>
      </w:tcPr>
    </w:tblStylePr>
    <w:tblStylePr w:type="firstCol">
      <w:rPr>
        <w:b/>
      </w:rPr>
    </w:tblStylePr>
    <w:tblStylePr w:type="firstRow">
      <w:rPr>
        <w:b/>
      </w:rPr>
    </w:tblStylePr>
  </w:style>
  <w:style w:type="table" w:styleId="GridTable1Light">
    <w:name w:val="Grid Table 1 Light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Col">
      <w:rPr>
        <w:b/>
      </w:rPr>
    </w:tblStylePr>
    <w:tblStylePr w:type="firstRow">
      <w:rPr>
        <w:b/>
      </w:rPr>
    </w:tblStylePr>
  </w:style>
  <w:style w:type="table" w:styleId="GridTable4AccentBlue">
    <w:name w:val="Grid Table 4 – Blu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C1E4F5"/>
        <w:left w:val="single" w:sz="4" w:space="0" w:color="C1E4F5"/>
        <w:bottom w:val="single" w:sz="4" w:space="0" w:color="C1E4F5"/>
        <w:right w:val="single" w:sz="4" w:space="0" w:color="C1E4F5"/>
        <w:insideH w:val="single" w:sz="4" w:space="0" w:color="C1E4F5"/>
        <w:insideV w:val="single" w:sz="4" w:space="0" w:color="C1E4F5"/>
      </w:tblBorders>
    </w:tblPr>
    <w:tblStylePr w:type="band1Horz">
      <w:tcPr>
        <w:shd w:val="clear" w:color="auto" w:fill="C1E4F5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156082"/>
      </w:tcPr>
    </w:tblStylePr>
  </w:style>
  <w:style w:type="table" w:styleId="ListTable3AccentBlue">
    <w:name w:val="List Table 3 – Blu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</w:tblPr>
    <w:tblStylePr w:type="firstRow">
      <w:rPr>
        <w:b/>
        <w:color w:val="FFFFFF"/>
      </w:rPr>
      <w:tcPr>
        <w:shd w:val="clear" w:color="auto" w:fill="156082"/>
      </w:tcPr>
    </w:tblStylePr>
    <w:tblStylePr w:type="lastRow">
      <w:tcPr>
        <w:tcBorders>
          <w:top w:val="single" w:sz="4" w:space="0" w:color="156082"/>
        </w:tcBorders>
      </w:tcPr>
    </w:tblStylePr>
  </w:style>
  <w:style w:type="table" w:styleId="GridTable4AccentOrange">
    <w:name w:val="Grid Table 4 – Orang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FBE2D5"/>
        <w:left w:val="single" w:sz="4" w:space="0" w:color="FBE2D5"/>
        <w:bottom w:val="single" w:sz="4" w:space="0" w:color="FBE2D5"/>
        <w:right w:val="single" w:sz="4" w:space="0" w:color="FBE2D5"/>
        <w:insideH w:val="single" w:sz="4" w:space="0" w:color="FBE2D5"/>
        <w:insideV w:val="single" w:sz="4" w:space="0" w:color="FBE2D5"/>
      </w:tblBorders>
    </w:tblPr>
    <w:tblStylePr w:type="band1Horz">
      <w:tcPr>
        <w:shd w:val="clear" w:color="auto" w:fill="FBE2D5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E97132"/>
      </w:tcPr>
    </w:tblStylePr>
  </w:style>
  <w:style w:type="table" w:styleId="ListTable3AccentOrange">
    <w:name w:val="List Table 3 – Orang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E97132"/>
        <w:left w:val="single" w:sz="4" w:space="0" w:color="E97132"/>
        <w:bottom w:val="single" w:sz="4" w:space="0" w:color="E97132"/>
        <w:right w:val="single" w:sz="4" w:space="0" w:color="E97132"/>
      </w:tblBorders>
    </w:tblPr>
    <w:tblStylePr w:type="firstRow">
      <w:rPr>
        <w:b/>
        <w:color w:val="FFFFFF"/>
      </w:rPr>
      <w:tcPr>
        <w:shd w:val="clear" w:color="auto" w:fill="E97132"/>
      </w:tcPr>
    </w:tblStylePr>
    <w:tblStylePr w:type="lastRow">
      <w:tcPr>
        <w:tcBorders>
          <w:top w:val="single" w:sz="4" w:space="0" w:color="E97132"/>
        </w:tcBorders>
      </w:tcPr>
    </w:tblStylePr>
  </w:style>
  <w:style w:type="table" w:styleId="GridTable4AccentGreen">
    <w:name w:val="Grid Table 4 – Green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C1F0C8"/>
        <w:left w:val="single" w:sz="4" w:space="0" w:color="C1F0C8"/>
        <w:bottom w:val="single" w:sz="4" w:space="0" w:color="C1F0C8"/>
        <w:right w:val="single" w:sz="4" w:space="0" w:color="C1F0C8"/>
        <w:insideH w:val="single" w:sz="4" w:space="0" w:color="C1F0C8"/>
        <w:insideV w:val="single" w:sz="4" w:space="0" w:color="C1F0C8"/>
      </w:tblBorders>
    </w:tblPr>
    <w:tblStylePr w:type="band1Horz">
      <w:tcPr>
        <w:shd w:val="clear" w:color="auto" w:fill="C1F0C8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196B24"/>
      </w:tcPr>
    </w:tblStylePr>
  </w:style>
  <w:style w:type="table" w:styleId="ListTable3AccentGreen">
    <w:name w:val="List Table 3 – Green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196B24"/>
        <w:left w:val="single" w:sz="4" w:space="0" w:color="196B24"/>
        <w:bottom w:val="single" w:sz="4" w:space="0" w:color="196B24"/>
        <w:right w:val="single" w:sz="4" w:space="0" w:color="196B24"/>
      </w:tblBorders>
    </w:tblPr>
    <w:tblStylePr w:type="firstRow">
      <w:rPr>
        <w:b/>
        <w:color w:val="FFFFFF"/>
      </w:rPr>
      <w:tcPr>
        <w:shd w:val="clear" w:color="auto" w:fill="196B24"/>
      </w:tcPr>
    </w:tblStylePr>
    <w:tblStylePr w:type="lastRow">
      <w:tcPr>
        <w:tcBorders>
          <w:top w:val="single" w:sz="4" w:space="0" w:color="196B24"/>
        </w:tcBorders>
      </w:tcPr>
    </w:tblStylePr>
  </w:style>
  <w:style w:type="table" w:styleId="GridTable4AccentPurple">
    <w:name w:val="Grid Table 4 – Purpl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E5D2EE"/>
        <w:left w:val="single" w:sz="4" w:space="0" w:color="E5D2EE"/>
        <w:bottom w:val="single" w:sz="4" w:space="0" w:color="E5D2EE"/>
        <w:right w:val="single" w:sz="4" w:space="0" w:color="E5D2EE"/>
        <w:insideH w:val="single" w:sz="4" w:space="0" w:color="E5D2EE"/>
        <w:insideV w:val="single" w:sz="4" w:space="0" w:color="E5D2EE"/>
      </w:tblBorders>
    </w:tblPr>
    <w:tblStylePr w:type="band1Horz">
      <w:tcPr>
        <w:shd w:val="clear" w:color="auto" w:fill="E5D2EE"/>
      </w:tcPr>
    </w:tblStylePr>
    <w:tblStylePr w:type="firstCol">
      <w:rPr>
        <w:b/>
      </w:rPr>
    </w:tblStylePr>
    <w:tblStylePr w:type="firstRow">
      <w:rPr>
        <w:b/>
        <w:color w:val="FFFFFF"/>
      </w:rPr>
      <w:tcPr>
        <w:shd w:val="clear" w:color="auto" w:fill="712E8D"/>
      </w:tcPr>
    </w:tblStylePr>
  </w:style>
  <w:style w:type="table" w:styleId="ListTable3AccentPurple">
    <w:name w:val="List Table 3 – Purple"/>
    <w:basedOn w:val="TableNormal"/>
    <w:uiPriority w:val="60"/>
    <w:pPr>
      <w:spacing w:after="0" w:line="240" w:lineRule="auto"/>
    </w:pPr>
    <w:tblPr>
      <w:tblStyleRowBandSize w:val="1"/>
      <w:tblStyleColBandSize w:val="1"/>
      <w:tblBorders>
        <w:top w:val="single" w:sz="4" w:space="0" w:color="712E8D"/>
        <w:left w:val="single" w:sz="4" w:space="0" w:color="712E8D"/>
        <w:bottom w:val="single" w:sz="4" w:space="0" w:color="712E8D"/>
        <w:right w:val="single" w:sz="4" w:space="0" w:color="712E8D"/>
      </w:tblBorders>
    </w:tblPr>
    <w:tblStylePr w:type="firstRow">
      <w:rPr>
        <w:b/>
        <w:color w:val="FFFFFF"/>
      </w:rPr>
      <w:tcPr>
        <w:shd w:val="clear" w:color="auto" w:fill="712E8D"/>
      </w:tcPr>
    </w:tblStylePr>
    <w:tblStylePr w:type="lastRow">
      <w:tcPr>
        <w:tcBorders>
          <w:top w:val="single" w:sz="4" w:space="0" w:color="712E8D"/>
        </w:tcBorders>
      </w:tcPr>
    </w:tblStyle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example.com/cedar-lane/approve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numbering" Target="numbering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raft">
  <a:themeElements>
    <a:clrScheme name="Craf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aft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Craf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PDF Conversion API</Application>
  <Words>269</Words>
  <Paragraphs>48</Paragraph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estimate 2027-0418</dc:title>
  <dc:subject>Refrigerator repair</dc:subject>
  <dc:creator>Cedar Lane Appliance Repair</dc:creator>
  <cp:keywords>estimate</cp:keywords>
  <cp:revision>1</cp:revision>
  <dcterms:created xsi:type="dcterms:W3CDTF">2027-04-18T09:30:00Z</dcterms:created>
  <dcterms:modified xsi:type="dcterms:W3CDTF">2026-11-04T14:59:23Z</dcterms:modified>
</cp:coreProperties>
</file>